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0"/>
          <w:tab w:val="right" w:pos="13323"/>
        </w:tabs>
        <w:spacing w:after="0"/>
        <w:rPr>
          <w:rFonts w:hint="default" w:ascii="Arial" w:hAnsi="Arial" w:cs="Arial"/>
          <w:b/>
          <w:sz w:val="24"/>
          <w:szCs w:val="24"/>
          <w:lang w:val="en-US" w:eastAsia="ja-JP"/>
        </w:rPr>
      </w:pPr>
      <w:bookmarkStart w:id="0" w:name="_Hlt450066087"/>
      <w:bookmarkEnd w:id="0"/>
      <w:bookmarkStart w:id="1" w:name="_Hlt448930105"/>
      <w:bookmarkEnd w:id="1"/>
      <w:bookmarkStart w:id="2" w:name="_Hlt450039480"/>
      <w:bookmarkEnd w:id="2"/>
      <w:bookmarkStart w:id="3" w:name="_Hlt450051172"/>
      <w:bookmarkEnd w:id="3"/>
      <w:bookmarkStart w:id="4" w:name="_Hlt450066085"/>
      <w:bookmarkEnd w:id="4"/>
      <w:bookmarkStart w:id="5" w:name="_Hlt449016246"/>
      <w:bookmarkEnd w:id="5"/>
      <w:r>
        <w:rPr>
          <w:rFonts w:ascii="Arial" w:hAnsi="Arial" w:cs="Arial"/>
          <w:b/>
          <w:sz w:val="24"/>
          <w:szCs w:val="24"/>
        </w:rPr>
        <w:t>3GPP TSG-RAN WG4 Meeting #114</w:t>
      </w:r>
      <w:r>
        <w:rPr>
          <w:rFonts w:hint="eastAsia" w:ascii="Arial" w:hAnsi="Arial" w:cs="Arial"/>
          <w:b/>
          <w:sz w:val="24"/>
          <w:szCs w:val="24"/>
          <w:lang w:val="en-US" w:eastAsia="zh-CN"/>
        </w:rPr>
        <w:t>bis</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0</w:t>
      </w:r>
      <w:r>
        <w:rPr>
          <w:rFonts w:hint="eastAsia" w:ascii="Arial" w:hAnsi="Arial" w:cs="Arial"/>
          <w:b/>
          <w:color w:val="000000"/>
          <w:sz w:val="24"/>
          <w:szCs w:val="24"/>
          <w:lang w:val="en-US" w:eastAsia="zh-CN"/>
        </w:rPr>
        <w:t>3745</w:t>
      </w:r>
    </w:p>
    <w:p>
      <w:pPr>
        <w:rPr>
          <w:rFonts w:ascii="Arial" w:hAnsi="Arial" w:cs="Arial"/>
          <w:b/>
          <w:sz w:val="24"/>
          <w:szCs w:val="24"/>
          <w:lang w:eastAsia="zh-CN"/>
        </w:rPr>
      </w:pPr>
      <w:r>
        <w:rPr>
          <w:rFonts w:hint="eastAsia" w:ascii="Arial" w:hAnsi="Arial" w:cs="Arial"/>
          <w:b/>
          <w:sz w:val="24"/>
          <w:szCs w:val="24"/>
          <w:lang w:val="en-US" w:eastAsia="zh-CN"/>
        </w:rPr>
        <w:t>Wuhan</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7</w:t>
      </w:r>
      <w:r>
        <w:rPr>
          <w:rFonts w:ascii="Arial" w:hAnsi="Arial" w:cs="Arial"/>
          <w:b/>
          <w:sz w:val="24"/>
          <w:szCs w:val="24"/>
          <w:vertAlign w:val="superscript"/>
          <w:lang w:eastAsia="zh-CN"/>
        </w:rPr>
        <w:t>th</w:t>
      </w:r>
      <w:r>
        <w:rPr>
          <w:rFonts w:ascii="Arial" w:hAnsi="Arial" w:cs="Arial"/>
          <w:b/>
          <w:sz w:val="24"/>
          <w:szCs w:val="24"/>
          <w:lang w:eastAsia="zh-CN"/>
        </w:rPr>
        <w:t xml:space="preserve"> – </w:t>
      </w:r>
      <w:r>
        <w:rPr>
          <w:rFonts w:hint="eastAsia" w:ascii="Arial" w:hAnsi="Arial" w:cs="Arial"/>
          <w:b/>
          <w:sz w:val="24"/>
          <w:szCs w:val="24"/>
          <w:lang w:val="en-US" w:eastAsia="zh-CN"/>
        </w:rPr>
        <w:t>1</w:t>
      </w:r>
      <w:r>
        <w:rPr>
          <w:rFonts w:ascii="Arial" w:hAnsi="Arial" w:cs="Arial"/>
          <w:b/>
          <w:sz w:val="24"/>
          <w:szCs w:val="24"/>
          <w:lang w:eastAsia="zh-CN"/>
        </w:rPr>
        <w:t>1</w:t>
      </w:r>
      <w:r>
        <w:rPr>
          <w:rFonts w:ascii="Arial" w:hAnsi="Arial" w:cs="Arial"/>
          <w:b/>
          <w:sz w:val="24"/>
          <w:szCs w:val="24"/>
          <w:vertAlign w:val="superscript"/>
          <w:lang w:eastAsia="zh-CN"/>
        </w:rPr>
        <w:t>st</w:t>
      </w:r>
      <w:r>
        <w:rPr>
          <w:rFonts w:ascii="Arial" w:hAnsi="Arial" w:cs="Arial"/>
          <w:b/>
          <w:sz w:val="24"/>
          <w:szCs w:val="24"/>
          <w:lang w:eastAsia="zh-CN"/>
        </w:rPr>
        <w:t xml:space="preserve"> </w:t>
      </w:r>
      <w:r>
        <w:rPr>
          <w:rFonts w:hint="eastAsia" w:ascii="Arial" w:hAnsi="Arial" w:cs="Arial"/>
          <w:b/>
          <w:sz w:val="24"/>
          <w:szCs w:val="24"/>
          <w:lang w:val="en-US" w:eastAsia="zh-CN"/>
        </w:rPr>
        <w:t>April</w:t>
      </w:r>
      <w:r>
        <w:rPr>
          <w:rFonts w:ascii="Arial" w:hAnsi="Arial" w:cs="Arial"/>
          <w:b/>
          <w:sz w:val="24"/>
          <w:szCs w:val="24"/>
          <w:lang w:eastAsia="zh-CN"/>
        </w:rPr>
        <w:t xml:space="preserve"> 2025</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6" w:name="OLE_LINK8"/>
      <w:bookmarkStart w:id="7" w:name="OLE_LINK14"/>
      <w:r>
        <w:rPr>
          <w:rFonts w:hint="eastAsia" w:ascii="Arial" w:hAnsi="Arial"/>
          <w:b/>
          <w:sz w:val="24"/>
          <w:highlight w:val="none"/>
          <w:lang w:val="en-US" w:eastAsia="zh-CN"/>
        </w:rPr>
        <w:t>D</w:t>
      </w:r>
      <w:r>
        <w:rPr>
          <w:rStyle w:val="60"/>
          <w:rFonts w:hint="eastAsia"/>
          <w:b/>
          <w:highlight w:val="none"/>
          <w:lang w:val="pt-BR" w:eastAsia="zh-CN"/>
        </w:rPr>
        <w:t>iscussion on</w:t>
      </w:r>
      <w:bookmarkEnd w:id="6"/>
      <w:bookmarkEnd w:id="7"/>
      <w:r>
        <w:rPr>
          <w:rStyle w:val="60"/>
          <w:rFonts w:hint="eastAsia"/>
          <w:b/>
          <w:highlight w:val="none"/>
          <w:lang w:val="en-US" w:eastAsia="zh-CN"/>
        </w:rPr>
        <w:t xml:space="preserve"> SAN RF requirements for IoT-NTN TDD band</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7.31.3</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106</w:t>
      </w:r>
      <w:r>
        <w:rPr>
          <w:rFonts w:hint="default"/>
          <w:i w:val="0"/>
          <w:iCs w:val="0"/>
          <w:sz w:val="20"/>
          <w:szCs w:val="20"/>
          <w:lang w:val="en-US" w:eastAsia="zh-CN"/>
        </w:rPr>
        <w:t xml:space="preserve"> meeting, a</w:t>
      </w:r>
      <w:r>
        <w:rPr>
          <w:rFonts w:hint="eastAsia"/>
          <w:i w:val="0"/>
          <w:iCs w:val="0"/>
          <w:sz w:val="20"/>
          <w:szCs w:val="20"/>
          <w:lang w:val="en-US" w:eastAsia="zh-CN"/>
        </w:rPr>
        <w:t xml:space="preserve"> revised</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introduction of IoT-NTN TDD mode with the following objective</w:t>
      </w:r>
      <w:r>
        <w:rPr>
          <w:rFonts w:hint="default"/>
          <w:i w:val="0"/>
          <w:iCs w:val="0"/>
          <w:sz w:val="20"/>
          <w:szCs w:val="20"/>
          <w:lang w:val="en-US" w:eastAsia="zh-CN"/>
        </w:rPr>
        <w:t>. In this contribution, we want to share some</w:t>
      </w:r>
      <w:r>
        <w:rPr>
          <w:rFonts w:hint="eastAsia"/>
          <w:i w:val="0"/>
          <w:iCs w:val="0"/>
          <w:sz w:val="20"/>
          <w:szCs w:val="20"/>
          <w:lang w:val="en-US" w:eastAsia="zh-CN"/>
        </w:rPr>
        <w:t xml:space="preserve"> </w:t>
      </w:r>
      <w:r>
        <w:rPr>
          <w:rFonts w:hint="default"/>
          <w:i w:val="0"/>
          <w:iCs w:val="0"/>
          <w:sz w:val="20"/>
          <w:szCs w:val="20"/>
          <w:lang w:val="en-US" w:eastAsia="zh-CN"/>
        </w:rPr>
        <w:t xml:space="preserve">views </w:t>
      </w:r>
      <w:r>
        <w:rPr>
          <w:rFonts w:hint="eastAsia"/>
          <w:i w:val="0"/>
          <w:iCs w:val="0"/>
          <w:sz w:val="20"/>
          <w:szCs w:val="20"/>
          <w:lang w:val="en-US" w:eastAsia="zh-CN"/>
        </w:rPr>
        <w:t xml:space="preserve">about the new </w:t>
      </w:r>
      <w:r>
        <w:rPr>
          <w:sz w:val="20"/>
          <w:szCs w:val="20"/>
        </w:rPr>
        <w:t>NB-IoT TDD operating NTN band</w:t>
      </w:r>
      <w:r>
        <w:rPr>
          <w:rFonts w:hint="eastAsia"/>
          <w:i w:val="0"/>
          <w:iCs w:val="0"/>
          <w:sz w:val="20"/>
          <w:szCs w:val="20"/>
          <w:lang w:val="en-US" w:eastAsia="zh-CN"/>
        </w:rPr>
        <w:t xml:space="preserve"> </w:t>
      </w:r>
      <w:r>
        <w:rPr>
          <w:rFonts w:hint="default"/>
          <w:i w:val="0"/>
          <w:iCs w:val="0"/>
          <w:sz w:val="20"/>
          <w:szCs w:val="20"/>
          <w:lang w:val="en-US" w:eastAsia="zh-CN"/>
        </w:rPr>
        <w:t>from system parameters and UE RF requirements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120"/>
              <w:textAlignment w:val="baseline"/>
              <w:rPr>
                <w:sz w:val="20"/>
                <w:szCs w:val="20"/>
              </w:rPr>
            </w:pPr>
            <w:r>
              <w:rPr>
                <w:sz w:val="20"/>
                <w:szCs w:val="20"/>
              </w:rPr>
              <w:t>This work item includes the following objectives:</w:t>
            </w:r>
          </w:p>
          <w:p>
            <w:pPr>
              <w:numPr>
                <w:ilvl w:val="0"/>
                <w:numId w:val="8"/>
              </w:numPr>
              <w:overflowPunct w:val="0"/>
              <w:autoSpaceDE w:val="0"/>
              <w:autoSpaceDN w:val="0"/>
              <w:adjustRightInd w:val="0"/>
              <w:spacing w:after="120"/>
              <w:textAlignment w:val="baseline"/>
              <w:rPr>
                <w:sz w:val="20"/>
                <w:szCs w:val="20"/>
              </w:rPr>
            </w:pPr>
            <w:r>
              <w:rPr>
                <w:sz w:val="20"/>
                <w:szCs w:val="20"/>
              </w:rPr>
              <w:t>Specify a new NB-IoT TDD NTN mode</w:t>
            </w:r>
            <w:r>
              <w:rPr>
                <w:rStyle w:val="81"/>
                <w:sz w:val="20"/>
                <w:szCs w:val="20"/>
              </w:rPr>
              <w:t xml:space="preserve"> </w:t>
            </w:r>
            <w:r>
              <w:rPr>
                <w:rStyle w:val="82"/>
                <w:sz w:val="20"/>
                <w:szCs w:val="20"/>
              </w:rPr>
              <w:t>based on minimum necessary changes to the NB-IoT NTN FDD frame structure and procedures</w:t>
            </w:r>
            <w:r>
              <w:rPr>
                <w:sz w:val="20"/>
                <w:szCs w:val="20"/>
              </w:rPr>
              <w:t>,  including:</w:t>
            </w:r>
          </w:p>
          <w:p>
            <w:pPr>
              <w:numPr>
                <w:ilvl w:val="1"/>
                <w:numId w:val="9"/>
              </w:numPr>
              <w:overflowPunct w:val="0"/>
              <w:autoSpaceDE w:val="0"/>
              <w:autoSpaceDN w:val="0"/>
              <w:adjustRightInd w:val="0"/>
              <w:spacing w:after="120"/>
              <w:textAlignment w:val="baseline"/>
              <w:rPr>
                <w:sz w:val="20"/>
                <w:szCs w:val="20"/>
              </w:rPr>
            </w:pPr>
            <w:r>
              <w:rPr>
                <w:sz w:val="20"/>
                <w:szCs w:val="20"/>
              </w:rPr>
              <w:t>Definition, configuration (if needed) and signaling (if needed) of the periodic pattern, necessary adaptation (if needed) and associated UE procedures [RAN1, RAN2]</w:t>
            </w:r>
          </w:p>
          <w:p>
            <w:pPr>
              <w:numPr>
                <w:ilvl w:val="3"/>
                <w:numId w:val="9"/>
              </w:numPr>
              <w:overflowPunct w:val="0"/>
              <w:autoSpaceDE w:val="0"/>
              <w:autoSpaceDN w:val="0"/>
              <w:adjustRightInd w:val="0"/>
              <w:spacing w:after="120"/>
              <w:textAlignment w:val="baseline"/>
              <w:rPr>
                <w:sz w:val="20"/>
                <w:szCs w:val="20"/>
              </w:rPr>
            </w:pPr>
            <w:r>
              <w:rPr>
                <w:sz w:val="20"/>
                <w:szCs w:val="20"/>
              </w:rPr>
              <w:t>Support a pattern with a period of 9 radio frames for the target MSS allocated band, where D=U=8 with a fixed guard period.</w:t>
            </w:r>
            <w:r>
              <w:rPr>
                <w:rFonts w:hint="cs"/>
                <w:sz w:val="20"/>
                <w:szCs w:val="20"/>
              </w:rPr>
              <w:t>R</w:t>
            </w:r>
            <w:r>
              <w:rPr>
                <w:sz w:val="20"/>
                <w:szCs w:val="20"/>
              </w:rPr>
              <w:t>AN1 to consider whether there is a need for a mechanism to achieve an adjustable guard period for the purpose of allowing deployment with the TDD frame structure of the legacy system operating in the target MSS allocated band.</w:t>
            </w:r>
          </w:p>
          <w:p>
            <w:pPr>
              <w:numPr>
                <w:ilvl w:val="1"/>
                <w:numId w:val="9"/>
              </w:numPr>
              <w:overflowPunct w:val="0"/>
              <w:autoSpaceDE w:val="0"/>
              <w:autoSpaceDN w:val="0"/>
              <w:adjustRightInd w:val="0"/>
              <w:spacing w:after="120"/>
              <w:textAlignment w:val="baseline"/>
              <w:rPr>
                <w:sz w:val="20"/>
                <w:szCs w:val="20"/>
              </w:rPr>
            </w:pPr>
            <w:r>
              <w:rPr>
                <w:sz w:val="20"/>
                <w:szCs w:val="20"/>
              </w:rPr>
              <w:t>Other necessary impacts on higher layers [RAN2]</w:t>
            </w:r>
          </w:p>
          <w:p>
            <w:pPr>
              <w:numPr>
                <w:ilvl w:val="1"/>
                <w:numId w:val="9"/>
              </w:numPr>
              <w:overflowPunct w:val="0"/>
              <w:autoSpaceDE w:val="0"/>
              <w:autoSpaceDN w:val="0"/>
              <w:adjustRightInd w:val="0"/>
              <w:spacing w:after="120"/>
              <w:textAlignment w:val="baseline"/>
              <w:rPr>
                <w:sz w:val="20"/>
                <w:szCs w:val="20"/>
              </w:rPr>
            </w:pPr>
            <w:r>
              <w:rPr>
                <w:sz w:val="20"/>
                <w:szCs w:val="20"/>
              </w:rPr>
              <w:t>RRM and RF core requirements [RAN4]</w:t>
            </w:r>
          </w:p>
          <w:p>
            <w:pPr>
              <w:numPr>
                <w:ilvl w:val="0"/>
                <w:numId w:val="8"/>
              </w:numPr>
              <w:overflowPunct w:val="0"/>
              <w:autoSpaceDE w:val="0"/>
              <w:autoSpaceDN w:val="0"/>
              <w:adjustRightInd w:val="0"/>
              <w:spacing w:after="120"/>
              <w:textAlignment w:val="baseline"/>
              <w:rPr>
                <w:sz w:val="20"/>
                <w:szCs w:val="20"/>
              </w:rPr>
            </w:pPr>
            <w:r>
              <w:rPr>
                <w:sz w:val="20"/>
                <w:szCs w:val="20"/>
              </w:rPr>
              <w:t>Specify a new NB-IoT TDD operating NTN band for the MSS allocation spanning 1616-1626.5 MHz for DL and UL, based on the outcome of the study, to be used as example band for this WI [RAN4].</w:t>
            </w:r>
          </w:p>
          <w:p>
            <w:pPr>
              <w:numPr>
                <w:ilvl w:val="1"/>
                <w:numId w:val="9"/>
              </w:numPr>
              <w:overflowPunct w:val="0"/>
              <w:autoSpaceDE w:val="0"/>
              <w:autoSpaceDN w:val="0"/>
              <w:adjustRightInd w:val="0"/>
              <w:spacing w:after="120"/>
              <w:textAlignment w:val="baseline"/>
              <w:rPr>
                <w:sz w:val="20"/>
                <w:szCs w:val="20"/>
              </w:rPr>
            </w:pPr>
            <w:r>
              <w:rPr>
                <w:sz w:val="20"/>
                <w:szCs w:val="20"/>
              </w:rPr>
              <w:t>Specify band numbering</w:t>
            </w:r>
          </w:p>
          <w:p>
            <w:pPr>
              <w:numPr>
                <w:ilvl w:val="1"/>
                <w:numId w:val="9"/>
              </w:numPr>
              <w:overflowPunct w:val="0"/>
              <w:autoSpaceDE w:val="0"/>
              <w:autoSpaceDN w:val="0"/>
              <w:adjustRightInd w:val="0"/>
              <w:spacing w:after="120"/>
              <w:textAlignment w:val="baseline"/>
              <w:rPr>
                <w:sz w:val="20"/>
                <w:szCs w:val="20"/>
              </w:rPr>
            </w:pPr>
            <w:r>
              <w:rPr>
                <w:sz w:val="20"/>
                <w:szCs w:val="20"/>
              </w:rPr>
              <w:t>Specify SAN and UE RF characteristics</w:t>
            </w:r>
          </w:p>
          <w:p>
            <w:pPr>
              <w:numPr>
                <w:ilvl w:val="1"/>
                <w:numId w:val="9"/>
              </w:numPr>
              <w:overflowPunct w:val="0"/>
              <w:autoSpaceDE w:val="0"/>
              <w:autoSpaceDN w:val="0"/>
              <w:adjustRightInd w:val="0"/>
              <w:spacing w:after="120"/>
              <w:textAlignment w:val="baseline"/>
              <w:rPr>
                <w:sz w:val="20"/>
                <w:szCs w:val="20"/>
              </w:rPr>
            </w:pPr>
            <w:r>
              <w:rPr>
                <w:sz w:val="20"/>
                <w:szCs w:val="20"/>
              </w:rPr>
              <w:t>Specify DL and UL channelization.</w:t>
            </w:r>
          </w:p>
          <w:p>
            <w:pPr>
              <w:numPr>
                <w:ilvl w:val="1"/>
                <w:numId w:val="9"/>
              </w:numPr>
              <w:overflowPunct w:val="0"/>
              <w:autoSpaceDE w:val="0"/>
              <w:autoSpaceDN w:val="0"/>
              <w:adjustRightInd w:val="0"/>
              <w:spacing w:after="120"/>
              <w:textAlignment w:val="baseline"/>
              <w:rPr>
                <w:sz w:val="20"/>
                <w:szCs w:val="20"/>
              </w:rPr>
            </w:pPr>
            <w:r>
              <w:rPr>
                <w:rFonts w:hint="cs"/>
                <w:sz w:val="20"/>
                <w:szCs w:val="20"/>
              </w:rPr>
              <w:t>S</w:t>
            </w:r>
            <w:r>
              <w:rPr>
                <w:sz w:val="20"/>
                <w:szCs w:val="20"/>
              </w:rPr>
              <w:t>pecify channel bandwidth as 200 kHz</w:t>
            </w:r>
          </w:p>
          <w:p>
            <w:pPr>
              <w:numPr>
                <w:ilvl w:val="1"/>
                <w:numId w:val="9"/>
              </w:numPr>
              <w:overflowPunct w:val="0"/>
              <w:autoSpaceDE w:val="0"/>
              <w:autoSpaceDN w:val="0"/>
              <w:adjustRightInd w:val="0"/>
              <w:spacing w:after="120"/>
              <w:textAlignment w:val="baseline"/>
              <w:rPr>
                <w:sz w:val="20"/>
                <w:szCs w:val="20"/>
              </w:rPr>
            </w:pPr>
            <w:r>
              <w:rPr>
                <w:sz w:val="20"/>
                <w:szCs w:val="20"/>
              </w:rPr>
              <w:t>Note1: No NTN-NTN coexistence study needed.</w:t>
            </w:r>
          </w:p>
          <w:p>
            <w:pPr>
              <w:numPr>
                <w:ilvl w:val="1"/>
                <w:numId w:val="9"/>
              </w:numPr>
              <w:overflowPunct w:val="0"/>
              <w:autoSpaceDE w:val="0"/>
              <w:autoSpaceDN w:val="0"/>
              <w:adjustRightInd w:val="0"/>
              <w:spacing w:after="120"/>
              <w:textAlignment w:val="baseline"/>
              <w:rPr>
                <w:sz w:val="20"/>
                <w:szCs w:val="20"/>
              </w:rPr>
            </w:pPr>
            <w:r>
              <w:rPr>
                <w:sz w:val="20"/>
                <w:szCs w:val="20"/>
              </w:rPr>
              <w:t>Note2: Leverage existing work as much as possible for TN-NTN coexistence of adjacent bands</w:t>
            </w:r>
          </w:p>
          <w:p>
            <w:pPr>
              <w:numPr>
                <w:ilvl w:val="0"/>
                <w:numId w:val="0"/>
              </w:numPr>
              <w:overflowPunct w:val="0"/>
              <w:autoSpaceDE w:val="0"/>
              <w:autoSpaceDN w:val="0"/>
              <w:adjustRightInd w:val="0"/>
              <w:spacing w:after="120"/>
              <w:ind w:left="1080" w:leftChars="0"/>
              <w:textAlignment w:val="baseline"/>
              <w:rPr>
                <w:rFonts w:hint="default" w:eastAsia="宋体"/>
                <w:i w:val="0"/>
                <w:iCs w:val="0"/>
                <w:sz w:val="20"/>
                <w:szCs w:val="20"/>
                <w:vertAlign w:val="baseline"/>
                <w:lang w:val="en-US" w:eastAsia="zh-CN"/>
              </w:rPr>
            </w:pP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numPr>
          <w:ilvl w:val="1"/>
          <w:numId w:val="0"/>
        </w:numPr>
        <w:bidi w:val="0"/>
        <w:ind w:leftChars="0" w:right="0" w:rightChars="0"/>
        <w:rPr>
          <w:rFonts w:hint="default"/>
          <w:sz w:val="24"/>
          <w:szCs w:val="18"/>
          <w:lang w:val="en-US" w:eastAsia="zh-CN"/>
        </w:rPr>
      </w:pPr>
      <w:r>
        <w:rPr>
          <w:rFonts w:hint="eastAsia"/>
          <w:sz w:val="24"/>
          <w:szCs w:val="18"/>
          <w:lang w:val="en-US" w:eastAsia="zh-CN"/>
        </w:rPr>
        <w:t>2.1 Reference sensitivity level</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hint="default" w:ascii="Times New Roman" w:hAnsi="Times New Roman" w:cs="Times New Roman"/>
                <w:b/>
                <w:color w:val="000000" w:themeColor="text1"/>
                <w:sz w:val="20"/>
                <w:szCs w:val="20"/>
                <w:u w:val="single"/>
                <w:lang w:eastAsia="ko-KR"/>
                <w14:textFill>
                  <w14:solidFill>
                    <w14:schemeClr w14:val="tx1"/>
                  </w14:solidFill>
                </w14:textFill>
              </w:rPr>
            </w:pPr>
            <w:r>
              <w:rPr>
                <w:rFonts w:hint="default" w:ascii="Times New Roman" w:hAnsi="Times New Roman" w:cs="Times New Roman"/>
                <w:b/>
                <w:color w:val="000000" w:themeColor="text1"/>
                <w:sz w:val="20"/>
                <w:szCs w:val="20"/>
                <w:u w:val="single"/>
                <w:lang w:eastAsia="ko-KR"/>
                <w14:textFill>
                  <w14:solidFill>
                    <w14:schemeClr w14:val="tx1"/>
                  </w14:solidFill>
                </w14:textFill>
              </w:rPr>
              <w:t>Issue 3-3-1:</w:t>
            </w:r>
            <w:r>
              <w:rPr>
                <w:rFonts w:hint="default" w:ascii="Times New Roman" w:hAnsi="Times New Roman" w:cs="Times New Roman"/>
                <w:b/>
                <w:color w:val="000000" w:themeColor="text1"/>
                <w:sz w:val="20"/>
                <w:szCs w:val="20"/>
                <w:lang w:eastAsia="ko-KR"/>
                <w14:textFill>
                  <w14:solidFill>
                    <w14:schemeClr w14:val="tx1"/>
                  </w14:solidFill>
                </w14:textFill>
              </w:rPr>
              <w:t xml:space="preserve"> </w:t>
            </w:r>
            <w:r>
              <w:rPr>
                <w:rFonts w:hint="default" w:ascii="Times New Roman" w:hAnsi="Times New Roman" w:cs="Times New Roman"/>
                <w:b/>
                <w:color w:val="000000" w:themeColor="text1"/>
                <w:sz w:val="20"/>
                <w:szCs w:val="20"/>
                <w:lang w:eastAsia="zh-CN"/>
                <w14:textFill>
                  <w14:solidFill>
                    <w14:schemeClr w14:val="tx1"/>
                  </w14:solidFill>
                </w14:textFill>
              </w:rPr>
              <w:t>NTN NB-IoT SAN FRC for reference sensitivity and in-channel selectivity</w:t>
            </w:r>
          </w:p>
          <w:p>
            <w:pPr>
              <w:overflowPunct w:val="0"/>
              <w:autoSpaceDE w:val="0"/>
              <w:autoSpaceDN w:val="0"/>
              <w:adjustRightInd w:val="0"/>
              <w:spacing w:after="180"/>
              <w:jc w:val="both"/>
              <w:textAlignment w:val="baseline"/>
              <w:rPr>
                <w:rFonts w:hint="default" w:ascii="Times New Roman" w:hAnsi="Times New Roman" w:cs="Times New Roman"/>
                <w:sz w:val="20"/>
                <w:szCs w:val="20"/>
              </w:rPr>
            </w:pPr>
            <w:r>
              <w:rPr>
                <w:rFonts w:hint="default" w:ascii="Times New Roman" w:hAnsi="Times New Roman" w:cs="Times New Roman"/>
                <w:b/>
                <w:color w:val="000000" w:themeColor="text1"/>
                <w:sz w:val="20"/>
                <w:szCs w:val="20"/>
                <w14:textFill>
                  <w14:solidFill>
                    <w14:schemeClr w14:val="tx1"/>
                  </w14:solidFill>
                </w14:textFill>
              </w:rPr>
              <w:t>Agreement:</w:t>
            </w:r>
            <w:r>
              <w:rPr>
                <w:rFonts w:hint="default" w:ascii="Times New Roman" w:hAnsi="Times New Roman" w:cs="Times New Roman"/>
                <w:color w:val="000000" w:themeColor="text1"/>
                <w:sz w:val="20"/>
                <w:szCs w:val="20"/>
                <w14:textFill>
                  <w14:solidFill>
                    <w14:schemeClr w14:val="tx1"/>
                  </w14:solidFill>
                </w14:textFill>
              </w:rPr>
              <w:t xml:space="preserve"> </w:t>
            </w:r>
            <w:r>
              <w:rPr>
                <w:rFonts w:hint="default" w:ascii="Times New Roman" w:hAnsi="Times New Roman" w:cs="Times New Roman"/>
                <w:sz w:val="20"/>
                <w:szCs w:val="20"/>
              </w:rPr>
              <w:t xml:space="preserve">RAN4 to </w:t>
            </w:r>
            <w:r>
              <w:rPr>
                <w:rFonts w:hint="default" w:ascii="Times New Roman" w:hAnsi="Times New Roman" w:cs="Times New Roman"/>
                <w:b/>
                <w:sz w:val="20"/>
                <w:szCs w:val="20"/>
              </w:rPr>
              <w:t xml:space="preserve">further discuss FRC for reference sensitivity and in-channel selectivity </w:t>
            </w:r>
            <w:r>
              <w:rPr>
                <w:rFonts w:hint="default" w:ascii="Times New Roman" w:hAnsi="Times New Roman" w:cs="Times New Roman"/>
                <w:sz w:val="20"/>
                <w:szCs w:val="20"/>
              </w:rPr>
              <w:t xml:space="preserve">in SAN TS 36.108 with respect to band 249 for better adaptation to 8ms TDD Tx time (corresponding to D/U=8). </w:t>
            </w:r>
          </w:p>
          <w:p>
            <w:pPr>
              <w:pStyle w:val="34"/>
              <w:numPr>
                <w:ilvl w:val="0"/>
                <w:numId w:val="10"/>
              </w:numPr>
              <w:overflowPunct w:val="0"/>
              <w:autoSpaceDE w:val="0"/>
              <w:autoSpaceDN w:val="0"/>
              <w:adjustRightInd w:val="0"/>
              <w:spacing w:after="180"/>
              <w:ind w:firstLineChars="0"/>
              <w:jc w:val="both"/>
              <w:textAlignment w:val="baseline"/>
              <w:rPr>
                <w:rFonts w:hint="default" w:ascii="Times New Roman" w:hAnsi="Times New Roman" w:eastAsia="Times New Roman" w:cs="Times New Roman"/>
                <w:bCs/>
                <w:sz w:val="20"/>
                <w:szCs w:val="20"/>
                <w:lang w:eastAsia="en-GB"/>
              </w:rPr>
            </w:pPr>
            <w:r>
              <w:rPr>
                <w:rFonts w:hint="default" w:ascii="Times New Roman" w:hAnsi="Times New Roman" w:cs="Times New Roman"/>
                <w:b/>
                <w:bCs/>
                <w:sz w:val="20"/>
                <w:szCs w:val="20"/>
              </w:rPr>
              <w:t>Option 1:</w:t>
            </w:r>
            <w:r>
              <w:rPr>
                <w:rFonts w:hint="default" w:ascii="Times New Roman" w:hAnsi="Times New Roman" w:cs="Times New Roman"/>
                <w:sz w:val="20"/>
                <w:szCs w:val="20"/>
              </w:rPr>
              <w:t xml:space="preserve"> Further discuss if to reuse </w:t>
            </w:r>
            <w:r>
              <w:rPr>
                <w:rFonts w:hint="default" w:ascii="Times New Roman" w:hAnsi="Times New Roman" w:eastAsia="Times New Roman" w:cs="Times New Roman"/>
                <w:b/>
                <w:sz w:val="20"/>
                <w:szCs w:val="20"/>
                <w:lang w:eastAsia="en-GB"/>
              </w:rPr>
              <w:t xml:space="preserve">A14-1 reference channel and segment the signal into 2 different 8 ms Tx/Rx times </w:t>
            </w:r>
            <w:r>
              <w:rPr>
                <w:rFonts w:hint="default" w:ascii="Times New Roman" w:hAnsi="Times New Roman" w:eastAsia="Times New Roman" w:cs="Times New Roman"/>
                <w:bCs/>
                <w:sz w:val="20"/>
                <w:szCs w:val="20"/>
                <w:lang w:eastAsia="en-GB"/>
              </w:rPr>
              <w:t xml:space="preserve">(e.g. with 90 ms periodicity between 2 transmissions, if 1 transmission can be postponed) for TDD NTN NB-IoT SAN requirements. </w:t>
            </w:r>
            <w:r>
              <w:rPr>
                <w:rFonts w:hint="default" w:ascii="Times New Roman" w:hAnsi="Times New Roman" w:eastAsia="Times New Roman" w:cs="Times New Roman"/>
                <w:b/>
                <w:sz w:val="20"/>
                <w:szCs w:val="20"/>
                <w:lang w:eastAsia="en-GB"/>
              </w:rPr>
              <w:t xml:space="preserve">Further discuss if A14-2 could be descoped </w:t>
            </w:r>
            <w:r>
              <w:rPr>
                <w:rFonts w:hint="default" w:ascii="Times New Roman" w:hAnsi="Times New Roman" w:eastAsia="Times New Roman" w:cs="Times New Roman"/>
                <w:bCs/>
                <w:sz w:val="20"/>
                <w:szCs w:val="20"/>
                <w:lang w:eastAsia="en-GB"/>
              </w:rPr>
              <w:t>for TDD NTN NB-IoT SAN requirements.</w:t>
            </w:r>
          </w:p>
          <w:p>
            <w:pPr>
              <w:pStyle w:val="34"/>
              <w:numPr>
                <w:ilvl w:val="0"/>
                <w:numId w:val="10"/>
              </w:numPr>
              <w:overflowPunct w:val="0"/>
              <w:autoSpaceDE w:val="0"/>
              <w:autoSpaceDN w:val="0"/>
              <w:adjustRightInd w:val="0"/>
              <w:spacing w:after="180"/>
              <w:ind w:firstLineChars="0"/>
              <w:jc w:val="both"/>
              <w:textAlignment w:val="baseline"/>
              <w:rPr>
                <w:rFonts w:hint="default" w:ascii="Times New Roman" w:hAnsi="Times New Roman" w:eastAsia="Times New Roman" w:cs="Times New Roman"/>
                <w:bCs/>
                <w:sz w:val="20"/>
                <w:szCs w:val="20"/>
                <w:lang w:eastAsia="en-GB"/>
              </w:rPr>
            </w:pPr>
            <w:r>
              <w:rPr>
                <w:rFonts w:hint="default" w:ascii="Times New Roman" w:hAnsi="Times New Roman" w:eastAsia="Times New Roman" w:cs="Times New Roman"/>
                <w:b/>
                <w:sz w:val="20"/>
                <w:szCs w:val="20"/>
                <w:lang w:eastAsia="en-GB"/>
              </w:rPr>
              <w:t>Option 2: Further discuss if to define new FRC(s) for NTN NB-IoT to cope with 8 ms Tx/Rx time</w:t>
            </w:r>
            <w:r>
              <w:rPr>
                <w:rFonts w:hint="default" w:ascii="Times New Roman" w:hAnsi="Times New Roman" w:eastAsia="Times New Roman" w:cs="Times New Roman"/>
                <w:bCs/>
                <w:sz w:val="20"/>
                <w:szCs w:val="20"/>
                <w:lang w:eastAsia="en-GB"/>
              </w:rPr>
              <w:t>, other options are not precluded.</w:t>
            </w:r>
          </w:p>
          <w:p>
            <w:pPr>
              <w:keepNext/>
              <w:keepLines/>
              <w:overflowPunct w:val="0"/>
              <w:autoSpaceDE w:val="0"/>
              <w:autoSpaceDN w:val="0"/>
              <w:adjustRightInd w:val="0"/>
              <w:spacing w:before="60" w:after="180"/>
              <w:jc w:val="center"/>
              <w:textAlignment w:val="baseline"/>
              <w:rPr>
                <w:rFonts w:hint="default" w:ascii="Times New Roman" w:hAnsi="Times New Roman" w:eastAsia="Times New Roman" w:cs="Times New Roman"/>
                <w:b/>
                <w:sz w:val="20"/>
                <w:szCs w:val="20"/>
                <w:lang w:eastAsia="en-GB"/>
              </w:rPr>
            </w:pPr>
            <w:r>
              <w:rPr>
                <w:rFonts w:hint="default" w:ascii="Times New Roman" w:hAnsi="Times New Roman" w:eastAsia="Times New Roman" w:cs="Times New Roman"/>
                <w:b/>
                <w:sz w:val="20"/>
                <w:szCs w:val="20"/>
                <w:lang w:eastAsia="en-GB"/>
              </w:rPr>
              <w:t>Table A.14-1 FRC parameters for reference sensitivity and in-channel selectivity</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76"/>
              <w:gridCol w:w="1067"/>
              <w:gridCol w:w="1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7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b/>
                      <w:sz w:val="20"/>
                      <w:szCs w:val="20"/>
                      <w:lang w:eastAsia="en-GB"/>
                    </w:rPr>
                  </w:pPr>
                  <w:r>
                    <w:rPr>
                      <w:rFonts w:hint="default" w:ascii="Times New Roman" w:hAnsi="Times New Roman" w:eastAsia="Times New Roman" w:cs="Times New Roman"/>
                      <w:b/>
                      <w:sz w:val="20"/>
                      <w:szCs w:val="20"/>
                      <w:lang w:eastAsia="en-GB"/>
                    </w:rPr>
                    <w:t>Reference channel</w:t>
                  </w:r>
                </w:p>
              </w:tc>
              <w:tc>
                <w:tcPr>
                  <w:tcW w:w="1067"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b/>
                      <w:sz w:val="20"/>
                      <w:szCs w:val="20"/>
                      <w:lang w:eastAsia="en-GB"/>
                    </w:rPr>
                  </w:pPr>
                  <w:r>
                    <w:rPr>
                      <w:rFonts w:hint="default" w:ascii="Times New Roman" w:hAnsi="Times New Roman" w:eastAsia="Times New Roman" w:cs="Times New Roman"/>
                      <w:b/>
                      <w:sz w:val="20"/>
                      <w:szCs w:val="20"/>
                      <w:lang w:eastAsia="en-GB"/>
                    </w:rPr>
                    <w:t>A14-1</w:t>
                  </w:r>
                </w:p>
              </w:tc>
              <w:tc>
                <w:tcPr>
                  <w:tcW w:w="113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b/>
                      <w:sz w:val="20"/>
                      <w:szCs w:val="20"/>
                      <w:lang w:eastAsia="en-GB"/>
                    </w:rPr>
                  </w:pPr>
                  <w:r>
                    <w:rPr>
                      <w:rFonts w:hint="default" w:ascii="Times New Roman" w:hAnsi="Times New Roman" w:eastAsia="Times New Roman" w:cs="Times New Roman"/>
                      <w:b/>
                      <w:sz w:val="20"/>
                      <w:szCs w:val="20"/>
                      <w:lang w:eastAsia="en-GB"/>
                    </w:rPr>
                    <w:t>A14-2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7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textAlignment w:val="baseline"/>
                    <w:rPr>
                      <w:rFonts w:hint="default" w:ascii="Times New Roman" w:hAnsi="Times New Roman" w:eastAsia="Times New Roman" w:cs="Times New Roman"/>
                      <w:sz w:val="20"/>
                      <w:szCs w:val="20"/>
                      <w:highlight w:val="yellow"/>
                      <w:lang w:eastAsia="en-GB"/>
                    </w:rPr>
                  </w:pPr>
                  <w:r>
                    <w:rPr>
                      <w:rFonts w:hint="default" w:ascii="Times New Roman" w:hAnsi="Times New Roman" w:eastAsia="Times New Roman" w:cs="Times New Roman"/>
                      <w:sz w:val="20"/>
                      <w:szCs w:val="20"/>
                      <w:highlight w:val="yellow"/>
                      <w:lang w:eastAsia="en-GB"/>
                    </w:rPr>
                    <w:t>Sub-carrier spacing (kHz)</w:t>
                  </w:r>
                </w:p>
              </w:tc>
              <w:tc>
                <w:tcPr>
                  <w:tcW w:w="1067"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highlight w:val="yellow"/>
                      <w:lang w:eastAsia="en-GB"/>
                    </w:rPr>
                  </w:pPr>
                  <w:r>
                    <w:rPr>
                      <w:rFonts w:hint="default" w:ascii="Times New Roman" w:hAnsi="Times New Roman" w:eastAsia="Times New Roman" w:cs="Times New Roman"/>
                      <w:sz w:val="20"/>
                      <w:szCs w:val="20"/>
                      <w:highlight w:val="yellow"/>
                      <w:lang w:eastAsia="en-GB"/>
                    </w:rPr>
                    <w:t>15</w:t>
                  </w:r>
                </w:p>
              </w:tc>
              <w:tc>
                <w:tcPr>
                  <w:tcW w:w="113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highlight w:val="yellow"/>
                      <w:lang w:eastAsia="en-GB"/>
                    </w:rPr>
                  </w:pPr>
                  <w:r>
                    <w:rPr>
                      <w:rFonts w:hint="default" w:ascii="Times New Roman" w:hAnsi="Times New Roman" w:eastAsia="Times New Roman" w:cs="Times New Roman"/>
                      <w:sz w:val="20"/>
                      <w:szCs w:val="20"/>
                      <w:highlight w:val="yellow"/>
                      <w:lang w:eastAsia="en-GB"/>
                    </w:rP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7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textAlignment w:val="baseline"/>
                    <w:rPr>
                      <w:rFonts w:hint="default" w:ascii="Times New Roman" w:hAnsi="Times New Roman" w:eastAsia="Times New Roman" w:cs="Times New Roman"/>
                      <w:sz w:val="20"/>
                      <w:szCs w:val="20"/>
                      <w:highlight w:val="yellow"/>
                      <w:lang w:eastAsia="en-GB"/>
                    </w:rPr>
                  </w:pPr>
                  <w:r>
                    <w:rPr>
                      <w:rFonts w:hint="default" w:ascii="Times New Roman" w:hAnsi="Times New Roman" w:eastAsia="Times New Roman" w:cs="Times New Roman"/>
                      <w:sz w:val="20"/>
                      <w:szCs w:val="20"/>
                      <w:highlight w:val="yellow"/>
                      <w:lang w:eastAsia="en-GB"/>
                    </w:rPr>
                    <w:t>Number of tone</w:t>
                  </w:r>
                </w:p>
              </w:tc>
              <w:tc>
                <w:tcPr>
                  <w:tcW w:w="1067"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highlight w:val="yellow"/>
                      <w:lang w:eastAsia="en-GB"/>
                    </w:rPr>
                  </w:pPr>
                  <w:r>
                    <w:rPr>
                      <w:rFonts w:hint="default" w:ascii="Times New Roman" w:hAnsi="Times New Roman" w:eastAsia="Times New Roman" w:cs="Times New Roman"/>
                      <w:sz w:val="20"/>
                      <w:szCs w:val="20"/>
                      <w:highlight w:val="yellow"/>
                      <w:lang w:eastAsia="en-GB"/>
                    </w:rPr>
                    <w:t>1</w:t>
                  </w:r>
                </w:p>
              </w:tc>
              <w:tc>
                <w:tcPr>
                  <w:tcW w:w="113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highlight w:val="yellow"/>
                      <w:lang w:eastAsia="en-GB"/>
                    </w:rPr>
                  </w:pPr>
                  <w:r>
                    <w:rPr>
                      <w:rFonts w:hint="default" w:ascii="Times New Roman" w:hAnsi="Times New Roman" w:eastAsia="Times New Roman" w:cs="Times New Roman"/>
                      <w:sz w:val="20"/>
                      <w:szCs w:val="20"/>
                      <w:highlight w:val="yellow"/>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7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Diversity</w:t>
                  </w:r>
                </w:p>
              </w:tc>
              <w:tc>
                <w:tcPr>
                  <w:tcW w:w="1067"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No</w:t>
                  </w:r>
                </w:p>
              </w:tc>
              <w:tc>
                <w:tcPr>
                  <w:tcW w:w="113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7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Modulation</w:t>
                  </w:r>
                </w:p>
              </w:tc>
              <w:tc>
                <w:tcPr>
                  <w:tcW w:w="1067"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val="en-US" w:eastAsia="en-GB"/>
                    </w:rPr>
                    <w:t>π/2 BPSK</w:t>
                  </w:r>
                </w:p>
              </w:tc>
              <w:tc>
                <w:tcPr>
                  <w:tcW w:w="113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val="en-US" w:eastAsia="en-GB"/>
                    </w:rPr>
                    <w:t>π/2 BPSK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7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Frequency offset</w:t>
                  </w:r>
                </w:p>
              </w:tc>
              <w:tc>
                <w:tcPr>
                  <w:tcW w:w="1067"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val="en-US" w:eastAsia="en-GB"/>
                    </w:rPr>
                  </w:pPr>
                  <w:r>
                    <w:rPr>
                      <w:rFonts w:hint="default" w:ascii="Times New Roman" w:hAnsi="Times New Roman" w:eastAsia="Times New Roman" w:cs="Times New Roman"/>
                      <w:sz w:val="20"/>
                      <w:szCs w:val="20"/>
                      <w:lang w:val="en-US" w:eastAsia="en-GB"/>
                    </w:rPr>
                    <w:t>0</w:t>
                  </w:r>
                </w:p>
              </w:tc>
              <w:tc>
                <w:tcPr>
                  <w:tcW w:w="113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val="en-US" w:eastAsia="en-GB"/>
                    </w:rPr>
                  </w:pPr>
                  <w:r>
                    <w:rPr>
                      <w:rFonts w:hint="default" w:ascii="Times New Roman" w:hAnsi="Times New Roman" w:eastAsia="Times New Roman" w:cs="Times New Roman"/>
                      <w:sz w:val="20"/>
                      <w:szCs w:val="20"/>
                      <w:lang w:val="en-US" w:eastAsia="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7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Channel estimation length (ms)</w:t>
                  </w:r>
                  <w:r>
                    <w:rPr>
                      <w:rFonts w:hint="default" w:ascii="Times New Roman" w:hAnsi="Times New Roman" w:eastAsia="Times New Roman" w:cs="Times New Roman"/>
                      <w:sz w:val="20"/>
                      <w:szCs w:val="20"/>
                      <w:vertAlign w:val="superscript"/>
                      <w:lang w:eastAsia="ja-JP"/>
                    </w:rPr>
                    <w:t xml:space="preserve"> </w:t>
                  </w:r>
                  <w:r>
                    <w:rPr>
                      <w:rFonts w:hint="default" w:ascii="Times New Roman" w:hAnsi="Times New Roman" w:eastAsia="Times New Roman" w:cs="Times New Roman"/>
                      <w:sz w:val="20"/>
                      <w:szCs w:val="20"/>
                      <w:lang w:eastAsia="en-GB"/>
                    </w:rPr>
                    <w:t>(NOTE)</w:t>
                  </w:r>
                </w:p>
              </w:tc>
              <w:tc>
                <w:tcPr>
                  <w:tcW w:w="1067"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val="en-US" w:eastAsia="en-GB"/>
                    </w:rPr>
                  </w:pPr>
                  <w:r>
                    <w:rPr>
                      <w:rFonts w:hint="default" w:ascii="Times New Roman" w:hAnsi="Times New Roman" w:eastAsia="Times New Roman" w:cs="Times New Roman"/>
                      <w:sz w:val="20"/>
                      <w:szCs w:val="20"/>
                      <w:lang w:val="en-US" w:eastAsia="en-GB"/>
                    </w:rPr>
                    <w:t>4</w:t>
                  </w:r>
                </w:p>
              </w:tc>
              <w:tc>
                <w:tcPr>
                  <w:tcW w:w="113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val="en-US" w:eastAsia="en-GB"/>
                    </w:rPr>
                  </w:pPr>
                  <w:r>
                    <w:rPr>
                      <w:rFonts w:hint="default" w:ascii="Times New Roman" w:hAnsi="Times New Roman" w:eastAsia="Times New Roman" w:cs="Times New Roman"/>
                      <w:sz w:val="20"/>
                      <w:szCs w:val="20"/>
                      <w:lang w:val="en-US" w:eastAsia="en-GB"/>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7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Number of NPUSCH repetition</w:t>
                  </w:r>
                </w:p>
              </w:tc>
              <w:tc>
                <w:tcPr>
                  <w:tcW w:w="1067"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1</w:t>
                  </w:r>
                </w:p>
              </w:tc>
              <w:tc>
                <w:tcPr>
                  <w:tcW w:w="113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7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IMCS / TBS</w:t>
                  </w:r>
                </w:p>
              </w:tc>
              <w:tc>
                <w:tcPr>
                  <w:tcW w:w="1067"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0 / 0</w:t>
                  </w:r>
                </w:p>
              </w:tc>
              <w:tc>
                <w:tcPr>
                  <w:tcW w:w="113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0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7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Payload size (bits)</w:t>
                  </w:r>
                </w:p>
              </w:tc>
              <w:tc>
                <w:tcPr>
                  <w:tcW w:w="1067"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32</w:t>
                  </w:r>
                </w:p>
              </w:tc>
              <w:tc>
                <w:tcPr>
                  <w:tcW w:w="113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7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Allocated resource unit</w:t>
                  </w:r>
                </w:p>
              </w:tc>
              <w:tc>
                <w:tcPr>
                  <w:tcW w:w="1067"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2</w:t>
                  </w:r>
                </w:p>
              </w:tc>
              <w:tc>
                <w:tcPr>
                  <w:tcW w:w="113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7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Code rate (target)</w:t>
                  </w:r>
                </w:p>
              </w:tc>
              <w:tc>
                <w:tcPr>
                  <w:tcW w:w="1067"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1/3</w:t>
                  </w:r>
                </w:p>
              </w:tc>
              <w:tc>
                <w:tcPr>
                  <w:tcW w:w="113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7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Code rate (effective)</w:t>
                  </w:r>
                </w:p>
              </w:tc>
              <w:tc>
                <w:tcPr>
                  <w:tcW w:w="1067"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0.29</w:t>
                  </w:r>
                </w:p>
              </w:tc>
              <w:tc>
                <w:tcPr>
                  <w:tcW w:w="113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7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textAlignment w:val="baseline"/>
                    <w:rPr>
                      <w:rFonts w:hint="default" w:ascii="Times New Roman" w:hAnsi="Times New Roman" w:eastAsia="Times New Roman" w:cs="Times New Roman"/>
                      <w:sz w:val="20"/>
                      <w:szCs w:val="20"/>
                      <w:lang w:eastAsia="en-GB"/>
                    </w:rPr>
                  </w:pPr>
                  <w:r>
                    <w:rPr>
                      <w:rFonts w:hint="default" w:ascii="Times New Roman" w:hAnsi="Times New Roman" w:cs="Times New Roman"/>
                      <w:sz w:val="20"/>
                      <w:szCs w:val="20"/>
                      <w:lang w:eastAsia="en-GB"/>
                    </w:rPr>
                    <w:t>Transport block CRC (bits)</w:t>
                  </w:r>
                </w:p>
              </w:tc>
              <w:tc>
                <w:tcPr>
                  <w:tcW w:w="1067"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24</w:t>
                  </w:r>
                </w:p>
              </w:tc>
              <w:tc>
                <w:tcPr>
                  <w:tcW w:w="113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7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Code block CRC size (bits)</w:t>
                  </w:r>
                </w:p>
              </w:tc>
              <w:tc>
                <w:tcPr>
                  <w:tcW w:w="1067"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0</w:t>
                  </w:r>
                </w:p>
              </w:tc>
              <w:tc>
                <w:tcPr>
                  <w:tcW w:w="113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7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Number of code blocks - C</w:t>
                  </w:r>
                </w:p>
              </w:tc>
              <w:tc>
                <w:tcPr>
                  <w:tcW w:w="1067"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1</w:t>
                  </w:r>
                </w:p>
              </w:tc>
              <w:tc>
                <w:tcPr>
                  <w:tcW w:w="113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7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Total number of bits per resource unit</w:t>
                  </w:r>
                </w:p>
              </w:tc>
              <w:tc>
                <w:tcPr>
                  <w:tcW w:w="1067"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96</w:t>
                  </w:r>
                </w:p>
              </w:tc>
              <w:tc>
                <w:tcPr>
                  <w:tcW w:w="113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7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Total symbols per resource unit</w:t>
                  </w:r>
                </w:p>
              </w:tc>
              <w:tc>
                <w:tcPr>
                  <w:tcW w:w="1067"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96</w:t>
                  </w:r>
                </w:p>
              </w:tc>
              <w:tc>
                <w:tcPr>
                  <w:tcW w:w="113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en-GB"/>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7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textAlignment w:val="baseline"/>
                    <w:rPr>
                      <w:rFonts w:hint="default" w:ascii="Times New Roman" w:hAnsi="Times New Roman" w:eastAsia="Times New Roman" w:cs="Times New Roman"/>
                      <w:sz w:val="20"/>
                      <w:szCs w:val="20"/>
                      <w:highlight w:val="yellow"/>
                      <w:lang w:eastAsia="en-GB"/>
                    </w:rPr>
                  </w:pPr>
                  <w:r>
                    <w:rPr>
                      <w:rFonts w:hint="default" w:ascii="Times New Roman" w:hAnsi="Times New Roman" w:eastAsia="Times New Roman" w:cs="Times New Roman"/>
                      <w:sz w:val="20"/>
                      <w:szCs w:val="20"/>
                      <w:highlight w:val="yellow"/>
                      <w:lang w:eastAsia="en-GB"/>
                    </w:rPr>
                    <w:t>Tx time (ms)</w:t>
                  </w:r>
                </w:p>
              </w:tc>
              <w:tc>
                <w:tcPr>
                  <w:tcW w:w="1067"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highlight w:val="yellow"/>
                      <w:lang w:eastAsia="en-GB"/>
                    </w:rPr>
                  </w:pPr>
                  <w:r>
                    <w:rPr>
                      <w:rFonts w:hint="default" w:ascii="Times New Roman" w:hAnsi="Times New Roman" w:eastAsia="Times New Roman" w:cs="Times New Roman"/>
                      <w:sz w:val="20"/>
                      <w:szCs w:val="20"/>
                      <w:highlight w:val="yellow"/>
                      <w:lang w:eastAsia="en-GB"/>
                    </w:rPr>
                    <w:t>16</w:t>
                  </w:r>
                </w:p>
              </w:tc>
              <w:tc>
                <w:tcPr>
                  <w:tcW w:w="1136"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highlight w:val="yellow"/>
                      <w:lang w:eastAsia="en-GB"/>
                    </w:rPr>
                  </w:pPr>
                  <w:r>
                    <w:rPr>
                      <w:rFonts w:hint="default" w:ascii="Times New Roman" w:hAnsi="Times New Roman" w:eastAsia="Times New Roman" w:cs="Times New Roman"/>
                      <w:sz w:val="20"/>
                      <w:szCs w:val="20"/>
                      <w:highlight w:val="yellow"/>
                      <w:lang w:eastAsia="en-GB"/>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79" w:type="dxa"/>
                  <w:gridSpan w:val="3"/>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ind w:left="851" w:hanging="851"/>
                    <w:textAlignment w:val="baseline"/>
                    <w:rPr>
                      <w:rFonts w:hint="default" w:ascii="Times New Roman" w:hAnsi="Times New Roman" w:eastAsia="Times New Roman" w:cs="Times New Roman"/>
                      <w:sz w:val="20"/>
                      <w:szCs w:val="20"/>
                      <w:lang w:eastAsia="en-GB"/>
                    </w:rPr>
                  </w:pPr>
                  <w:r>
                    <w:rPr>
                      <w:rFonts w:hint="default" w:ascii="Times New Roman" w:hAnsi="Times New Roman" w:eastAsia="Times New Roman" w:cs="Times New Roman"/>
                      <w:sz w:val="20"/>
                      <w:szCs w:val="20"/>
                      <w:lang w:eastAsia="ja-JP"/>
                    </w:rPr>
                    <w:t>NOTE:</w:t>
                  </w:r>
                  <w:r>
                    <w:rPr>
                      <w:rFonts w:hint="default" w:ascii="Times New Roman" w:hAnsi="Times New Roman" w:eastAsia="Times New Roman" w:cs="Times New Roman"/>
                      <w:sz w:val="20"/>
                      <w:szCs w:val="20"/>
                      <w:lang w:eastAsia="ja-JP"/>
                    </w:rPr>
                    <w:tab/>
                  </w:r>
                  <w:r>
                    <w:rPr>
                      <w:rFonts w:hint="default" w:ascii="Times New Roman" w:hAnsi="Times New Roman" w:eastAsia="Times New Roman" w:cs="Times New Roman"/>
                      <w:sz w:val="20"/>
                      <w:szCs w:val="20"/>
                      <w:lang w:eastAsia="ja-JP"/>
                    </w:rPr>
                    <w:t>Channel estimation lengths are included in the table for information only.</w:t>
                  </w:r>
                </w:p>
              </w:tc>
            </w:tr>
          </w:tbl>
          <w:p>
            <w:pPr>
              <w:overflowPunct w:val="0"/>
              <w:autoSpaceDE w:val="0"/>
              <w:autoSpaceDN w:val="0"/>
              <w:adjustRightInd w:val="0"/>
              <w:spacing w:after="180"/>
              <w:textAlignment w:val="baseline"/>
              <w:rPr>
                <w:rFonts w:hint="default" w:ascii="Times New Roman" w:hAnsi="Times New Roman" w:cs="Times New Roman"/>
                <w:sz w:val="20"/>
                <w:szCs w:val="20"/>
                <w:vertAlign w:val="baseline"/>
                <w:lang w:val="en-US" w:eastAsia="zh-CN"/>
              </w:rPr>
            </w:pPr>
          </w:p>
        </w:tc>
      </w:tr>
    </w:tbl>
    <w:p>
      <w:pPr>
        <w:pStyle w:val="34"/>
        <w:numPr>
          <w:ilvl w:val="0"/>
          <w:numId w:val="0"/>
        </w:numPr>
        <w:rPr>
          <w:rFonts w:hint="eastAsia" w:cs="Times New Roman"/>
          <w:sz w:val="20"/>
          <w:szCs w:val="20"/>
          <w:lang w:val="en-US" w:eastAsia="zh-CN"/>
        </w:rPr>
      </w:pPr>
    </w:p>
    <w:p>
      <w:pPr>
        <w:bidi w:val="0"/>
        <w:jc w:val="both"/>
        <w:rPr>
          <w:rFonts w:hint="default" w:cs="Times New Roman"/>
          <w:sz w:val="20"/>
          <w:szCs w:val="20"/>
          <w:lang w:val="en-US" w:eastAsia="zh-CN"/>
        </w:rPr>
      </w:pPr>
      <w:r>
        <w:rPr>
          <w:rFonts w:hint="eastAsia" w:cs="Times New Roman"/>
          <w:sz w:val="20"/>
          <w:szCs w:val="20"/>
          <w:lang w:val="en-US" w:eastAsia="zh-CN"/>
        </w:rPr>
        <w:t>Regarding FRC for reference sensitivity level, the issue is whether to modify FRC parameters to better align to 8ms TDD UL transmission time. From our understanding, Tx time in FRC parameters table is determined by the number of allocated resource unit. In NB-IoT, it introduced the definition of resource unit, which is defined as following table. For 3.75 kHz SCS case, there is only one definition of resource unit with single tone and 32ms duration. Any revision of FRC parameters to accommodate the 8ms TDD UL transmission time would necessitate the introduction of new resource unit definitions. This is not a straightforward modification, as it would require RAN1 to define.</w:t>
      </w:r>
      <w:bookmarkStart w:id="8" w:name="_GoBack"/>
      <w:bookmarkEnd w:id="8"/>
    </w:p>
    <w:p>
      <w:pPr>
        <w:bidi w:val="0"/>
        <w:jc w:val="center"/>
        <w:rPr>
          <w:rFonts w:hint="default" w:cs="Times New Roman"/>
          <w:b/>
          <w:bCs/>
          <w:sz w:val="20"/>
          <w:szCs w:val="20"/>
          <w:lang w:val="en-US" w:eastAsia="zh-CN"/>
        </w:rPr>
      </w:pPr>
      <w:r>
        <w:rPr>
          <w:rFonts w:hint="eastAsia" w:cs="Times New Roman"/>
          <w:b/>
          <w:bCs/>
          <w:sz w:val="20"/>
          <w:szCs w:val="20"/>
          <w:lang w:val="en-US" w:eastAsia="zh-CN"/>
        </w:rPr>
        <w:t>Table 2.1-1 The definition of resource unit for NB-IoT</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1"/>
        <w:gridCol w:w="2041"/>
        <w:gridCol w:w="2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1"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b/>
                <w:sz w:val="20"/>
                <w:szCs w:val="20"/>
                <w:lang w:eastAsia="en-GB"/>
              </w:rPr>
            </w:pPr>
          </w:p>
        </w:tc>
        <w:tc>
          <w:tcPr>
            <w:tcW w:w="2041"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宋体" w:cs="Times New Roman"/>
                <w:b/>
                <w:sz w:val="20"/>
                <w:szCs w:val="20"/>
                <w:lang w:val="en-US" w:eastAsia="zh-CN"/>
              </w:rPr>
            </w:pPr>
            <w:r>
              <w:rPr>
                <w:rFonts w:hint="eastAsia" w:eastAsia="宋体" w:cs="Times New Roman"/>
                <w:b/>
                <w:sz w:val="20"/>
                <w:szCs w:val="20"/>
                <w:lang w:val="en-US" w:eastAsia="zh-CN"/>
              </w:rPr>
              <w:t>Frequency (tone)</w:t>
            </w:r>
          </w:p>
        </w:tc>
        <w:tc>
          <w:tcPr>
            <w:tcW w:w="2041"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宋体" w:cs="Times New Roman"/>
                <w:b/>
                <w:sz w:val="20"/>
                <w:szCs w:val="20"/>
                <w:lang w:val="en-US" w:eastAsia="zh-CN"/>
              </w:rPr>
            </w:pPr>
            <w:r>
              <w:rPr>
                <w:rFonts w:hint="eastAsia" w:eastAsia="宋体" w:cs="Times New Roman"/>
                <w:b/>
                <w:sz w:val="20"/>
                <w:szCs w:val="20"/>
                <w:lang w:val="en-US" w:eastAsia="zh-CN"/>
              </w:rPr>
              <w:t>Time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1" w:type="dxa"/>
            <w:vMerge w:val="restart"/>
            <w:vAlign w:val="center"/>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宋体" w:cs="Times New Roman"/>
                <w:sz w:val="20"/>
                <w:szCs w:val="20"/>
                <w:highlight w:val="none"/>
                <w:lang w:val="en-US" w:eastAsia="zh-CN"/>
              </w:rPr>
            </w:pPr>
            <w:r>
              <w:rPr>
                <w:rFonts w:hint="eastAsia" w:eastAsia="宋体" w:cs="Times New Roman"/>
                <w:sz w:val="20"/>
                <w:szCs w:val="20"/>
                <w:highlight w:val="none"/>
                <w:lang w:val="en-US" w:eastAsia="zh-CN"/>
              </w:rPr>
              <w:t>SCS=15 kHz</w:t>
            </w:r>
          </w:p>
        </w:tc>
        <w:tc>
          <w:tcPr>
            <w:tcW w:w="2041"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eastAsia" w:ascii="Times New Roman" w:hAnsi="Times New Roman" w:eastAsia="宋体" w:cs="Times New Roman"/>
                <w:sz w:val="20"/>
                <w:szCs w:val="20"/>
                <w:highlight w:val="none"/>
                <w:lang w:val="en-US" w:eastAsia="zh-CN"/>
              </w:rPr>
            </w:pPr>
            <w:r>
              <w:rPr>
                <w:rFonts w:hint="eastAsia" w:eastAsia="宋体" w:cs="Times New Roman"/>
                <w:sz w:val="20"/>
                <w:szCs w:val="20"/>
                <w:highlight w:val="none"/>
                <w:lang w:val="en-US" w:eastAsia="zh-CN"/>
              </w:rPr>
              <w:t>1</w:t>
            </w:r>
          </w:p>
        </w:tc>
        <w:tc>
          <w:tcPr>
            <w:tcW w:w="2041"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eastAsia" w:ascii="Times New Roman" w:hAnsi="Times New Roman" w:eastAsia="宋体" w:cs="Times New Roman"/>
                <w:sz w:val="20"/>
                <w:szCs w:val="20"/>
                <w:highlight w:val="none"/>
                <w:lang w:val="en-US" w:eastAsia="zh-CN"/>
              </w:rPr>
            </w:pPr>
            <w:r>
              <w:rPr>
                <w:rFonts w:hint="eastAsia" w:eastAsia="宋体" w:cs="Times New Roman"/>
                <w:sz w:val="20"/>
                <w:szCs w:val="20"/>
                <w:highlight w:val="no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1" w:type="dxa"/>
            <w:vMerge w:val="continue"/>
            <w:vAlign w:val="center"/>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highlight w:val="none"/>
                <w:lang w:eastAsia="en-GB"/>
              </w:rPr>
            </w:pPr>
          </w:p>
        </w:tc>
        <w:tc>
          <w:tcPr>
            <w:tcW w:w="2041"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eastAsia" w:ascii="Times New Roman" w:hAnsi="Times New Roman" w:eastAsia="宋体" w:cs="Times New Roman"/>
                <w:sz w:val="20"/>
                <w:szCs w:val="20"/>
                <w:highlight w:val="none"/>
                <w:lang w:val="en-US" w:eastAsia="zh-CN"/>
              </w:rPr>
            </w:pPr>
            <w:r>
              <w:rPr>
                <w:rFonts w:hint="eastAsia" w:eastAsia="宋体" w:cs="Times New Roman"/>
                <w:sz w:val="20"/>
                <w:szCs w:val="20"/>
                <w:highlight w:val="none"/>
                <w:lang w:val="en-US" w:eastAsia="zh-CN"/>
              </w:rPr>
              <w:t>3</w:t>
            </w:r>
          </w:p>
        </w:tc>
        <w:tc>
          <w:tcPr>
            <w:tcW w:w="2041"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eastAsia" w:ascii="Times New Roman" w:hAnsi="Times New Roman" w:eastAsia="宋体" w:cs="Times New Roman"/>
                <w:sz w:val="20"/>
                <w:szCs w:val="20"/>
                <w:highlight w:val="none"/>
                <w:lang w:val="en-US" w:eastAsia="zh-CN"/>
              </w:rPr>
            </w:pPr>
            <w:r>
              <w:rPr>
                <w:rFonts w:hint="eastAsia" w:eastAsia="宋体" w:cs="Times New Roman"/>
                <w:sz w:val="20"/>
                <w:szCs w:val="20"/>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1" w:type="dxa"/>
            <w:vMerge w:val="continue"/>
            <w:vAlign w:val="center"/>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eastAsia="en-GB"/>
              </w:rPr>
            </w:pPr>
          </w:p>
        </w:tc>
        <w:tc>
          <w:tcPr>
            <w:tcW w:w="2041"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eastAsia" w:ascii="Times New Roman" w:hAnsi="Times New Roman" w:eastAsia="宋体" w:cs="Times New Roman"/>
                <w:sz w:val="20"/>
                <w:szCs w:val="20"/>
                <w:lang w:val="en-US" w:eastAsia="zh-CN"/>
              </w:rPr>
            </w:pPr>
            <w:r>
              <w:rPr>
                <w:rFonts w:hint="eastAsia" w:eastAsia="宋体" w:cs="Times New Roman"/>
                <w:sz w:val="20"/>
                <w:szCs w:val="20"/>
                <w:lang w:val="en-US" w:eastAsia="zh-CN"/>
              </w:rPr>
              <w:t>6</w:t>
            </w:r>
          </w:p>
        </w:tc>
        <w:tc>
          <w:tcPr>
            <w:tcW w:w="2041"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eastAsia" w:ascii="Times New Roman" w:hAnsi="Times New Roman" w:eastAsia="宋体" w:cs="Times New Roman"/>
                <w:sz w:val="20"/>
                <w:szCs w:val="20"/>
                <w:lang w:val="en-US" w:eastAsia="zh-CN"/>
              </w:rPr>
            </w:pPr>
            <w:r>
              <w:rPr>
                <w:rFonts w:hint="eastAsia" w:eastAsia="宋体" w:cs="Times New Roman"/>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1" w:type="dxa"/>
            <w:vMerge w:val="continue"/>
            <w:vAlign w:val="center"/>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lang w:eastAsia="en-GB"/>
              </w:rPr>
            </w:pPr>
          </w:p>
        </w:tc>
        <w:tc>
          <w:tcPr>
            <w:tcW w:w="2041"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宋体" w:cs="Times New Roman"/>
                <w:sz w:val="20"/>
                <w:szCs w:val="20"/>
                <w:lang w:val="en-US" w:eastAsia="zh-CN"/>
              </w:rPr>
            </w:pPr>
            <w:r>
              <w:rPr>
                <w:rFonts w:hint="eastAsia" w:eastAsia="宋体" w:cs="Times New Roman"/>
                <w:sz w:val="20"/>
                <w:szCs w:val="20"/>
                <w:lang w:val="en-US" w:eastAsia="zh-CN"/>
              </w:rPr>
              <w:t>12</w:t>
            </w:r>
          </w:p>
        </w:tc>
        <w:tc>
          <w:tcPr>
            <w:tcW w:w="2041"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eastAsia" w:ascii="Times New Roman" w:hAnsi="Times New Roman" w:eastAsia="宋体" w:cs="Times New Roman"/>
                <w:sz w:val="20"/>
                <w:szCs w:val="20"/>
                <w:lang w:val="en-US" w:eastAsia="zh-CN"/>
              </w:rPr>
            </w:pPr>
            <w:r>
              <w:rPr>
                <w:rFonts w:hint="eastAsia" w:eastAsia="宋体" w:cs="Times New Roman"/>
                <w:sz w:val="20"/>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1" w:type="dxa"/>
            <w:vAlign w:val="center"/>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ascii="Times New Roman" w:hAnsi="Times New Roman" w:eastAsia="Times New Roman" w:cs="Times New Roman"/>
                <w:sz w:val="20"/>
                <w:szCs w:val="20"/>
                <w:highlight w:val="none"/>
                <w:lang w:eastAsia="en-GB"/>
              </w:rPr>
            </w:pPr>
            <w:r>
              <w:rPr>
                <w:rFonts w:hint="eastAsia" w:eastAsia="宋体" w:cs="Times New Roman"/>
                <w:sz w:val="20"/>
                <w:szCs w:val="20"/>
                <w:highlight w:val="none"/>
                <w:lang w:val="en-US" w:eastAsia="zh-CN"/>
              </w:rPr>
              <w:t>SCS=</w:t>
            </w:r>
            <w:r>
              <w:rPr>
                <w:rFonts w:hint="eastAsia" w:cs="Times New Roman"/>
                <w:sz w:val="20"/>
                <w:szCs w:val="20"/>
                <w:highlight w:val="none"/>
                <w:lang w:val="en-US" w:eastAsia="zh-CN"/>
              </w:rPr>
              <w:t xml:space="preserve">3.75 </w:t>
            </w:r>
            <w:r>
              <w:rPr>
                <w:rFonts w:hint="eastAsia" w:eastAsia="宋体" w:cs="Times New Roman"/>
                <w:sz w:val="20"/>
                <w:szCs w:val="20"/>
                <w:highlight w:val="none"/>
                <w:lang w:val="en-US" w:eastAsia="zh-CN"/>
              </w:rPr>
              <w:t>kHz</w:t>
            </w:r>
          </w:p>
        </w:tc>
        <w:tc>
          <w:tcPr>
            <w:tcW w:w="2041"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eastAsia="宋体" w:cs="Times New Roman"/>
                <w:sz w:val="20"/>
                <w:szCs w:val="20"/>
                <w:highlight w:val="none"/>
                <w:lang w:val="en-US" w:eastAsia="zh-CN"/>
              </w:rPr>
            </w:pPr>
            <w:r>
              <w:rPr>
                <w:rFonts w:hint="eastAsia" w:eastAsia="宋体" w:cs="Times New Roman"/>
                <w:sz w:val="20"/>
                <w:szCs w:val="20"/>
                <w:highlight w:val="none"/>
                <w:lang w:val="en-US" w:eastAsia="zh-CN"/>
              </w:rPr>
              <w:t>1</w:t>
            </w:r>
          </w:p>
        </w:tc>
        <w:tc>
          <w:tcPr>
            <w:tcW w:w="2041" w:type="dxa"/>
          </w:tcPr>
          <w:p>
            <w:pPr>
              <w:keepNext/>
              <w:keepLines/>
              <w:pageBreakBefore w:val="0"/>
              <w:widowControl/>
              <w:kinsoku/>
              <w:wordWrap/>
              <w:overflowPunct w:val="0"/>
              <w:topLinePunct w:val="0"/>
              <w:autoSpaceDE w:val="0"/>
              <w:autoSpaceDN w:val="0"/>
              <w:bidi w:val="0"/>
              <w:adjustRightInd w:val="0"/>
              <w:snapToGrid/>
              <w:spacing w:beforeLines="0" w:after="0" w:afterLines="0" w:line="240" w:lineRule="auto"/>
              <w:jc w:val="center"/>
              <w:textAlignment w:val="baseline"/>
              <w:rPr>
                <w:rFonts w:hint="default" w:eastAsia="宋体" w:cs="Times New Roman"/>
                <w:sz w:val="20"/>
                <w:szCs w:val="20"/>
                <w:highlight w:val="none"/>
                <w:lang w:val="en-US" w:eastAsia="zh-CN"/>
              </w:rPr>
            </w:pPr>
            <w:r>
              <w:rPr>
                <w:rFonts w:hint="eastAsia" w:eastAsia="宋体" w:cs="Times New Roman"/>
                <w:sz w:val="20"/>
                <w:szCs w:val="20"/>
                <w:highlight w:val="none"/>
                <w:lang w:val="en-US" w:eastAsia="zh-CN"/>
              </w:rPr>
              <w:t>32</w:t>
            </w:r>
          </w:p>
        </w:tc>
      </w:tr>
    </w:tbl>
    <w:p>
      <w:pPr>
        <w:bidi w:val="0"/>
        <w:jc w:val="both"/>
        <w:rPr>
          <w:rFonts w:hint="default" w:cs="Times New Roman"/>
          <w:sz w:val="20"/>
          <w:szCs w:val="20"/>
          <w:lang w:val="en-US" w:eastAsia="zh-CN"/>
        </w:rPr>
      </w:pPr>
      <w:r>
        <w:rPr>
          <w:rFonts w:hint="eastAsia" w:cs="Times New Roman"/>
          <w:sz w:val="20"/>
          <w:szCs w:val="20"/>
          <w:lang w:val="en-US" w:eastAsia="zh-CN"/>
        </w:rPr>
        <w:t>In RAN1 discussion, when a signal cannot be fully transmitted within one 8ms UL transmission time, it is permissible to continue the transmission in subsequent 8ms UL transmission opportunities. Therefore, we prefer option to reuse reference channel in A.14 for REFSENS and segment the signal into 2 different 8 ms Tx/Rx times.</w:t>
      </w:r>
    </w:p>
    <w:p>
      <w:pPr>
        <w:bidi w:val="0"/>
        <w:jc w:val="both"/>
        <w:rPr>
          <w:rFonts w:hint="eastAsia"/>
          <w:b/>
          <w:bCs/>
          <w:sz w:val="20"/>
          <w:szCs w:val="18"/>
          <w:lang w:val="en-US" w:eastAsia="zh-CN"/>
        </w:rPr>
      </w:pPr>
      <w:r>
        <w:rPr>
          <w:rFonts w:hint="eastAsia"/>
          <w:b/>
          <w:bCs/>
          <w:sz w:val="20"/>
          <w:szCs w:val="18"/>
          <w:lang w:val="en-US" w:eastAsia="zh-CN"/>
        </w:rPr>
        <w:t>Proposal 1: It is proposed to reuse reference channel in A.14 for REFSENS for IoT-NTN TDD band 249 and segment the signal into 2 different 8 ms Tx/Rx times.</w:t>
      </w:r>
    </w:p>
    <w:p>
      <w:pPr>
        <w:bidi w:val="0"/>
        <w:jc w:val="both"/>
        <w:rPr>
          <w:rFonts w:hint="default" w:cs="Times New Roman"/>
          <w:sz w:val="20"/>
          <w:szCs w:val="20"/>
          <w:lang w:val="en-US" w:eastAsia="zh-CN"/>
        </w:rPr>
      </w:pPr>
      <w:r>
        <w:rPr>
          <w:rFonts w:hint="eastAsia" w:cs="Times New Roman"/>
          <w:sz w:val="20"/>
          <w:szCs w:val="20"/>
          <w:lang w:val="en-US" w:eastAsia="zh-CN"/>
        </w:rPr>
        <w:t>In terms of REFSENS for IoT-NTN, it is defined by the following equation and it is band agnostic. For IoT-NTN TDD band 249, the existing REFSENS in Table 7.2.2-3 and Table 7.2.2-4 in 36.108 can be reused.</w:t>
      </w:r>
    </w:p>
    <w:p>
      <w:pPr>
        <w:spacing w:line="300" w:lineRule="auto"/>
        <w:jc w:val="center"/>
        <w:rPr>
          <w:rFonts w:hint="default" w:cs="Times New Roman"/>
          <w:sz w:val="20"/>
          <w:szCs w:val="20"/>
          <w:lang w:val="en-US" w:eastAsia="zh-CN"/>
        </w:rPr>
      </w:pPr>
      <w:r>
        <w:t>P</w:t>
      </w:r>
      <w:r>
        <w:rPr>
          <w:sz w:val="13"/>
          <w:szCs w:val="13"/>
        </w:rPr>
        <w:t>REFSENS</w:t>
      </w:r>
      <w:r>
        <w:t xml:space="preserve"> = -174+10*log</w:t>
      </w:r>
      <w:r>
        <w:rPr>
          <w:vertAlign w:val="subscript"/>
        </w:rPr>
        <w:t>10</w:t>
      </w:r>
      <w:r>
        <w:t>(BW) + NF + IM + SNR</w:t>
      </w:r>
    </w:p>
    <w:p>
      <w:pPr>
        <w:bidi w:val="0"/>
        <w:jc w:val="both"/>
        <w:rPr>
          <w:rFonts w:hint="eastAsia"/>
          <w:b/>
          <w:bCs/>
          <w:sz w:val="20"/>
          <w:szCs w:val="18"/>
          <w:lang w:val="en-US" w:eastAsia="zh-CN"/>
        </w:rPr>
      </w:pPr>
      <w:r>
        <w:rPr>
          <w:rFonts w:hint="eastAsia"/>
          <w:b/>
          <w:bCs/>
          <w:sz w:val="20"/>
          <w:szCs w:val="18"/>
          <w:lang w:val="en-US" w:eastAsia="zh-CN"/>
        </w:rPr>
        <w:t>Proposal 2: It is proposed to reuse the existing REFSENS requirements in Table 7.2.2-3 and Table 7.2.2-4 in 36.108 for IoT-NTN TDD band 249.</w:t>
      </w:r>
    </w:p>
    <w:p>
      <w:pPr>
        <w:bidi w:val="0"/>
        <w:jc w:val="both"/>
        <w:rPr>
          <w:rFonts w:hint="default"/>
          <w:b/>
          <w:bCs/>
          <w:sz w:val="20"/>
          <w:szCs w:val="18"/>
          <w:lang w:val="en-US" w:eastAsia="zh-CN"/>
        </w:rPr>
      </w:pPr>
    </w:p>
    <w:p>
      <w:pPr>
        <w:pStyle w:val="3"/>
        <w:numPr>
          <w:ilvl w:val="1"/>
          <w:numId w:val="0"/>
        </w:numPr>
        <w:bidi w:val="0"/>
        <w:ind w:leftChars="0" w:right="0" w:rightChars="0"/>
        <w:rPr>
          <w:rFonts w:hint="eastAsia"/>
          <w:sz w:val="24"/>
          <w:szCs w:val="18"/>
          <w:lang w:val="en-US" w:eastAsia="zh-CN"/>
        </w:rPr>
      </w:pPr>
      <w:r>
        <w:rPr>
          <w:rFonts w:hint="eastAsia"/>
          <w:sz w:val="24"/>
          <w:szCs w:val="18"/>
          <w:lang w:val="en-US" w:eastAsia="zh-CN"/>
        </w:rPr>
        <w:t>2.2 Dynamic range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hint="default" w:ascii="Times New Roman" w:hAnsi="Times New Roman" w:cs="Times New Roman"/>
                <w:b/>
                <w:color w:val="000000" w:themeColor="text1"/>
                <w:sz w:val="20"/>
                <w:szCs w:val="20"/>
                <w:u w:val="single"/>
                <w:lang w:eastAsia="ko-KR"/>
                <w14:textFill>
                  <w14:solidFill>
                    <w14:schemeClr w14:val="tx1"/>
                  </w14:solidFill>
                </w14:textFill>
              </w:rPr>
            </w:pPr>
            <w:r>
              <w:rPr>
                <w:rFonts w:hint="default" w:ascii="Times New Roman" w:hAnsi="Times New Roman" w:cs="Times New Roman"/>
                <w:b/>
                <w:color w:val="000000" w:themeColor="text1"/>
                <w:sz w:val="20"/>
                <w:szCs w:val="20"/>
                <w:u w:val="single"/>
                <w:lang w:eastAsia="ko-KR"/>
                <w14:textFill>
                  <w14:solidFill>
                    <w14:schemeClr w14:val="tx1"/>
                  </w14:solidFill>
                </w14:textFill>
              </w:rPr>
              <w:t>Issue 3-3-2:</w:t>
            </w:r>
            <w:r>
              <w:rPr>
                <w:rFonts w:hint="default" w:ascii="Times New Roman" w:hAnsi="Times New Roman" w:cs="Times New Roman"/>
                <w:b/>
                <w:color w:val="000000" w:themeColor="text1"/>
                <w:sz w:val="20"/>
                <w:szCs w:val="20"/>
                <w:lang w:eastAsia="ko-KR"/>
                <w14:textFill>
                  <w14:solidFill>
                    <w14:schemeClr w14:val="tx1"/>
                  </w14:solidFill>
                </w14:textFill>
              </w:rPr>
              <w:t xml:space="preserve"> </w:t>
            </w:r>
            <w:r>
              <w:rPr>
                <w:rFonts w:hint="default" w:ascii="Times New Roman" w:hAnsi="Times New Roman" w:cs="Times New Roman"/>
                <w:b/>
                <w:color w:val="000000" w:themeColor="text1"/>
                <w:sz w:val="20"/>
                <w:szCs w:val="20"/>
                <w:lang w:eastAsia="zh-CN"/>
                <w14:textFill>
                  <w14:solidFill>
                    <w14:schemeClr w14:val="tx1"/>
                  </w14:solidFill>
                </w14:textFill>
              </w:rPr>
              <w:t>NTN NB-IoT SAN FRC dynamic range</w:t>
            </w:r>
          </w:p>
          <w:p>
            <w:pPr>
              <w:overflowPunct w:val="0"/>
              <w:autoSpaceDE w:val="0"/>
              <w:autoSpaceDN w:val="0"/>
              <w:adjustRightInd w:val="0"/>
              <w:spacing w:after="120"/>
              <w:textAlignment w:val="baseline"/>
              <w:rPr>
                <w:rFonts w:hint="default" w:ascii="Times New Roman" w:hAnsi="Times New Roman" w:cs="Times New Roman"/>
                <w:sz w:val="20"/>
                <w:szCs w:val="20"/>
              </w:rPr>
            </w:pPr>
            <w:r>
              <w:rPr>
                <w:rFonts w:hint="default" w:ascii="Times New Roman" w:hAnsi="Times New Roman" w:cs="Times New Roman"/>
                <w:b/>
                <w:bCs/>
                <w:sz w:val="20"/>
                <w:szCs w:val="20"/>
              </w:rPr>
              <w:t>Agreement:</w:t>
            </w:r>
            <w:r>
              <w:rPr>
                <w:rFonts w:hint="default" w:ascii="Times New Roman" w:hAnsi="Times New Roman" w:cs="Times New Roman"/>
                <w:sz w:val="20"/>
                <w:szCs w:val="20"/>
              </w:rPr>
              <w:t xml:space="preserve"> RAN4 to </w:t>
            </w:r>
            <w:r>
              <w:rPr>
                <w:rFonts w:hint="default" w:ascii="Times New Roman" w:hAnsi="Times New Roman" w:cs="Times New Roman"/>
                <w:b/>
                <w:sz w:val="20"/>
                <w:szCs w:val="20"/>
              </w:rPr>
              <w:t>further discuss FRC for dynamic range in SAN TS 36.108</w:t>
            </w:r>
            <w:r>
              <w:rPr>
                <w:rFonts w:hint="default" w:ascii="Times New Roman" w:hAnsi="Times New Roman" w:cs="Times New Roman"/>
                <w:sz w:val="20"/>
                <w:szCs w:val="20"/>
              </w:rPr>
              <w:t xml:space="preserve"> with respect to band 249 for better adaptation to 8ms TDD Tx time (corresponding to D/U=8). </w:t>
            </w:r>
          </w:p>
          <w:p>
            <w:pPr>
              <w:pStyle w:val="34"/>
              <w:numPr>
                <w:ilvl w:val="0"/>
                <w:numId w:val="10"/>
              </w:numPr>
              <w:overflowPunct w:val="0"/>
              <w:autoSpaceDE w:val="0"/>
              <w:autoSpaceDN w:val="0"/>
              <w:adjustRightInd w:val="0"/>
              <w:spacing w:after="120"/>
              <w:ind w:firstLineChars="0"/>
              <w:textAlignment w:val="baseline"/>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b/>
                <w:bCs/>
                <w:color w:val="000000" w:themeColor="text1"/>
                <w:sz w:val="20"/>
                <w:szCs w:val="20"/>
                <w:lang w:eastAsia="zh-CN"/>
                <w14:textFill>
                  <w14:solidFill>
                    <w14:schemeClr w14:val="tx1"/>
                  </w14:solidFill>
                </w14:textFill>
              </w:rPr>
              <w:t>Further discuss if reference channel A15-1 can be reused</w:t>
            </w:r>
            <w:r>
              <w:rPr>
                <w:rFonts w:hint="default" w:ascii="Times New Roman" w:hAnsi="Times New Roman" w:cs="Times New Roman"/>
                <w:color w:val="000000" w:themeColor="text1"/>
                <w:sz w:val="20"/>
                <w:szCs w:val="20"/>
                <w:lang w:eastAsia="zh-CN"/>
                <w14:textFill>
                  <w14:solidFill>
                    <w14:schemeClr w14:val="tx1"/>
                  </w14:solidFill>
                </w14:textFill>
              </w:rPr>
              <w:t xml:space="preserve"> for NTN TDD IoT NTN.</w:t>
            </w:r>
          </w:p>
          <w:p>
            <w:pPr>
              <w:pStyle w:val="34"/>
              <w:numPr>
                <w:ilvl w:val="0"/>
                <w:numId w:val="10"/>
              </w:numPr>
              <w:overflowPunct w:val="0"/>
              <w:autoSpaceDE w:val="0"/>
              <w:autoSpaceDN w:val="0"/>
              <w:adjustRightInd w:val="0"/>
              <w:spacing w:after="120"/>
              <w:ind w:firstLineChars="0"/>
              <w:textAlignment w:val="baseline"/>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b/>
                <w:bCs/>
                <w:color w:val="000000" w:themeColor="text1"/>
                <w:sz w:val="20"/>
                <w:szCs w:val="20"/>
                <w:lang w:eastAsia="zh-CN"/>
                <w14:textFill>
                  <w14:solidFill>
                    <w14:schemeClr w14:val="tx1"/>
                  </w14:solidFill>
                </w14:textFill>
              </w:rPr>
              <w:t>Further discuss if reference channel A15-2 can be descoped</w:t>
            </w:r>
            <w:r>
              <w:rPr>
                <w:rFonts w:hint="default" w:ascii="Times New Roman" w:hAnsi="Times New Roman" w:cs="Times New Roman"/>
                <w:color w:val="000000" w:themeColor="text1"/>
                <w:sz w:val="20"/>
                <w:szCs w:val="20"/>
                <w:lang w:eastAsia="zh-CN"/>
                <w14:textFill>
                  <w14:solidFill>
                    <w14:schemeClr w14:val="tx1"/>
                  </w14:solidFill>
                </w14:textFill>
              </w:rPr>
              <w:t xml:space="preserve"> for NTN TDD IoT NTN.</w:t>
            </w:r>
          </w:p>
          <w:p>
            <w:pPr>
              <w:pStyle w:val="34"/>
              <w:numPr>
                <w:ilvl w:val="0"/>
                <w:numId w:val="10"/>
              </w:numPr>
              <w:overflowPunct w:val="0"/>
              <w:autoSpaceDE w:val="0"/>
              <w:autoSpaceDN w:val="0"/>
              <w:adjustRightInd w:val="0"/>
              <w:spacing w:after="120"/>
              <w:ind w:firstLineChars="0"/>
              <w:textAlignment w:val="baseline"/>
              <w:rPr>
                <w:rFonts w:hint="default" w:ascii="Times New Roman" w:hAnsi="Times New Roman" w:cs="Times New Roman"/>
                <w:b/>
                <w:bCs/>
                <w:color w:val="000000" w:themeColor="text1"/>
                <w:sz w:val="20"/>
                <w:szCs w:val="20"/>
                <w:lang w:eastAsia="zh-CN"/>
                <w14:textFill>
                  <w14:solidFill>
                    <w14:schemeClr w14:val="tx1"/>
                  </w14:solidFill>
                </w14:textFill>
              </w:rPr>
            </w:pPr>
            <w:r>
              <w:rPr>
                <w:rFonts w:hint="default" w:ascii="Times New Roman" w:hAnsi="Times New Roman" w:cs="Times New Roman"/>
                <w:b/>
                <w:bCs/>
                <w:color w:val="000000" w:themeColor="text1"/>
                <w:sz w:val="20"/>
                <w:szCs w:val="20"/>
                <w:lang w:eastAsia="zh-CN"/>
                <w14:textFill>
                  <w14:solidFill>
                    <w14:schemeClr w14:val="tx1"/>
                  </w14:solidFill>
                </w14:textFill>
              </w:rPr>
              <w:t>Other options are not precluded.</w:t>
            </w:r>
          </w:p>
          <w:p>
            <w:pPr>
              <w:pStyle w:val="56"/>
              <w:overflowPunct w:val="0"/>
              <w:autoSpaceDE w:val="0"/>
              <w:autoSpaceDN w:val="0"/>
              <w:adjustRightInd w:val="0"/>
              <w:spacing w:after="180"/>
              <w:textAlignment w:val="baseline"/>
              <w:rPr>
                <w:rFonts w:hint="default" w:ascii="Times New Roman" w:hAnsi="Times New Roman" w:cs="Times New Roman"/>
                <w:sz w:val="20"/>
                <w:szCs w:val="20"/>
              </w:rPr>
            </w:pPr>
            <w:r>
              <w:rPr>
                <w:rFonts w:hint="default" w:ascii="Times New Roman" w:hAnsi="Times New Roman" w:cs="Times New Roman"/>
                <w:sz w:val="20"/>
                <w:szCs w:val="20"/>
              </w:rPr>
              <w:t>Table A.15-1 FRC parameters for NB-IoT dynamic range</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29"/>
              <w:gridCol w:w="1298"/>
              <w:gridCol w:w="1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shd w:val="clear" w:color="auto" w:fill="auto"/>
                  <w:vAlign w:val="center"/>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Reference channel</w:t>
                  </w:r>
                </w:p>
              </w:tc>
              <w:tc>
                <w:tcPr>
                  <w:tcW w:w="0" w:type="auto"/>
                  <w:vAlign w:val="center"/>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A15-1</w:t>
                  </w:r>
                </w:p>
              </w:tc>
              <w:tc>
                <w:tcPr>
                  <w:tcW w:w="0" w:type="auto"/>
                  <w:vAlign w:val="center"/>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shd w:val="clear" w:color="auto" w:fill="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sz w:val="20"/>
                      <w:szCs w:val="20"/>
                      <w:highlight w:val="yellow"/>
                    </w:rPr>
                  </w:pPr>
                  <w:r>
                    <w:rPr>
                      <w:rFonts w:hint="default" w:ascii="Times New Roman" w:hAnsi="Times New Roman" w:cs="Times New Roman"/>
                      <w:sz w:val="20"/>
                      <w:szCs w:val="20"/>
                      <w:highlight w:val="yellow"/>
                    </w:rPr>
                    <w:t>Subcarrier spacing (kHz)</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highlight w:val="yellow"/>
                    </w:rPr>
                  </w:pPr>
                  <w:r>
                    <w:rPr>
                      <w:rFonts w:hint="default" w:ascii="Times New Roman" w:hAnsi="Times New Roman" w:cs="Times New Roman"/>
                      <w:sz w:val="20"/>
                      <w:szCs w:val="20"/>
                      <w:highlight w:val="yellow"/>
                    </w:rPr>
                    <w:t>15</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highlight w:val="yellow"/>
                    </w:rPr>
                  </w:pPr>
                  <w:r>
                    <w:rPr>
                      <w:rFonts w:hint="default" w:ascii="Times New Roman" w:hAnsi="Times New Roman" w:cs="Times New Roman"/>
                      <w:sz w:val="20"/>
                      <w:szCs w:val="20"/>
                      <w:highlight w:val="yellow"/>
                    </w:rP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shd w:val="clear" w:color="auto" w:fill="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sz w:val="20"/>
                      <w:szCs w:val="20"/>
                      <w:highlight w:val="yellow"/>
                    </w:rPr>
                  </w:pPr>
                  <w:r>
                    <w:rPr>
                      <w:rFonts w:hint="default" w:ascii="Times New Roman" w:hAnsi="Times New Roman" w:cs="Times New Roman"/>
                      <w:sz w:val="20"/>
                      <w:szCs w:val="20"/>
                      <w:highlight w:val="yellow"/>
                    </w:rPr>
                    <w:t xml:space="preserve">Number of tone </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highlight w:val="yellow"/>
                    </w:rPr>
                  </w:pPr>
                  <w:r>
                    <w:rPr>
                      <w:rFonts w:hint="default" w:ascii="Times New Roman" w:hAnsi="Times New Roman" w:cs="Times New Roman"/>
                      <w:sz w:val="20"/>
                      <w:szCs w:val="20"/>
                      <w:highlight w:val="yellow"/>
                    </w:rPr>
                    <w:t>1</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highlight w:val="yellow"/>
                    </w:rPr>
                  </w:pPr>
                  <w:r>
                    <w:rPr>
                      <w:rFonts w:hint="default" w:ascii="Times New Roman" w:hAnsi="Times New Roman" w:cs="Times New Roman"/>
                      <w:sz w:val="20"/>
                      <w:szCs w:val="20"/>
                      <w:highlight w:val="yellow"/>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shd w:val="clear" w:color="auto" w:fill="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Modulation</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π/4 QPSK</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π/4 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shd w:val="clear" w:color="auto" w:fill="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Diversity</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No</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shd w:val="clear" w:color="auto" w:fill="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Frequency offset</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0</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shd w:val="clear" w:color="auto" w:fill="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IMCS / ITBS</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7 / 7</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7 /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shd w:val="clear" w:color="auto" w:fill="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Payload size (bits) </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104</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shd w:val="clear" w:color="auto" w:fill="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Allocated resource units</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shd w:val="clear" w:color="auto" w:fill="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Transport block CRC (bits) </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24</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shd w:val="clear" w:color="auto" w:fill="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Coding rate (target)</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2/3</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shd w:val="clear" w:color="auto" w:fill="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Coding Rate</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0.67</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shd w:val="clear" w:color="auto" w:fill="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Code block CRC size (bits)</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0</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shd w:val="clear" w:color="auto" w:fill="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Number of code blocks – C</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shd w:val="clear" w:color="auto" w:fill="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Total symbols per resource unit</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96</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shd w:val="clear" w:color="auto" w:fill="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Total number of bits per resource unit</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192</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shd w:val="clear" w:color="auto" w:fill="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sz w:val="20"/>
                      <w:szCs w:val="20"/>
                      <w:highlight w:val="yellow"/>
                    </w:rPr>
                  </w:pPr>
                  <w:r>
                    <w:rPr>
                      <w:rFonts w:hint="default" w:ascii="Times New Roman" w:hAnsi="Times New Roman" w:cs="Times New Roman"/>
                      <w:sz w:val="20"/>
                      <w:szCs w:val="20"/>
                      <w:highlight w:val="yellow"/>
                    </w:rPr>
                    <w:t>Tx time (ms)</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highlight w:val="yellow"/>
                      <w:lang w:eastAsia="zh-CN"/>
                    </w:rPr>
                  </w:pPr>
                  <w:r>
                    <w:rPr>
                      <w:rFonts w:hint="default" w:ascii="Times New Roman" w:hAnsi="Times New Roman" w:cs="Times New Roman"/>
                      <w:sz w:val="20"/>
                      <w:szCs w:val="20"/>
                      <w:highlight w:val="yellow"/>
                      <w:lang w:eastAsia="zh-CN"/>
                    </w:rPr>
                    <w:t>8</w:t>
                  </w:r>
                </w:p>
              </w:tc>
              <w:tc>
                <w:tcPr>
                  <w:tcW w:w="0" w:type="auto"/>
                  <w:vAlign w:val="center"/>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highlight w:val="yellow"/>
                      <w:lang w:eastAsia="zh-CN"/>
                    </w:rPr>
                  </w:pPr>
                  <w:r>
                    <w:rPr>
                      <w:rFonts w:hint="default" w:ascii="Times New Roman" w:hAnsi="Times New Roman" w:cs="Times New Roman"/>
                      <w:sz w:val="20"/>
                      <w:szCs w:val="20"/>
                      <w:highlight w:val="yellow"/>
                      <w:lang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shd w:val="clear" w:color="auto" w:fill="auto"/>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Frequency offset</w:t>
                  </w:r>
                </w:p>
              </w:tc>
              <w:tc>
                <w:tcPr>
                  <w:tcW w:w="0" w:type="auto"/>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0</w:t>
                  </w:r>
                </w:p>
              </w:tc>
              <w:tc>
                <w:tcPr>
                  <w:tcW w:w="0" w:type="auto"/>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shd w:val="clear" w:color="auto" w:fill="auto"/>
                </w:tcPr>
                <w:p>
                  <w:pPr>
                    <w:pStyle w:val="58"/>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Channel estimation length (ms) (NOTE)</w:t>
                  </w:r>
                </w:p>
              </w:tc>
              <w:tc>
                <w:tcPr>
                  <w:tcW w:w="0" w:type="auto"/>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4</w:t>
                  </w:r>
                </w:p>
              </w:tc>
              <w:tc>
                <w:tcPr>
                  <w:tcW w:w="0" w:type="auto"/>
                </w:tcPr>
                <w:p>
                  <w:pPr>
                    <w:pStyle w:val="58"/>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gridSpan w:val="3"/>
                  <w:shd w:val="clear" w:color="auto" w:fill="auto"/>
                </w:tcPr>
                <w:p>
                  <w:pPr>
                    <w:pStyle w:val="70"/>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NOTE:</w:t>
                  </w:r>
                  <w:r>
                    <w:rPr>
                      <w:rFonts w:hint="default" w:ascii="Times New Roman" w:hAnsi="Times New Roman" w:cs="Times New Roman"/>
                      <w:sz w:val="20"/>
                      <w:szCs w:val="20"/>
                      <w:lang w:eastAsia="ja-JP"/>
                    </w:rPr>
                    <w:tab/>
                  </w:r>
                  <w:r>
                    <w:rPr>
                      <w:rFonts w:hint="default" w:ascii="Times New Roman" w:hAnsi="Times New Roman" w:cs="Times New Roman"/>
                      <w:sz w:val="20"/>
                      <w:szCs w:val="20"/>
                      <w:lang w:eastAsia="ja-JP"/>
                    </w:rPr>
                    <w:t>Channel estimation lengths are included in the table for information only.</w:t>
                  </w:r>
                </w:p>
              </w:tc>
            </w:tr>
          </w:tbl>
          <w:p>
            <w:pPr>
              <w:overflowPunct w:val="0"/>
              <w:autoSpaceDE w:val="0"/>
              <w:autoSpaceDN w:val="0"/>
              <w:adjustRightInd w:val="0"/>
              <w:spacing w:after="180"/>
              <w:textAlignment w:val="baseline"/>
              <w:rPr>
                <w:rFonts w:hint="default" w:ascii="Times New Roman" w:hAnsi="Times New Roman" w:cs="Times New Roman"/>
                <w:sz w:val="20"/>
                <w:szCs w:val="20"/>
                <w:vertAlign w:val="baseline"/>
                <w:lang w:val="en-US" w:eastAsia="zh-CN"/>
              </w:rPr>
            </w:pPr>
          </w:p>
        </w:tc>
      </w:tr>
    </w:tbl>
    <w:p>
      <w:pPr>
        <w:rPr>
          <w:rFonts w:hint="default"/>
          <w:sz w:val="20"/>
          <w:szCs w:val="18"/>
          <w:lang w:val="en-US" w:eastAsia="zh-CN"/>
        </w:rPr>
      </w:pPr>
      <w:r>
        <w:rPr>
          <w:rFonts w:hint="eastAsia"/>
          <w:sz w:val="20"/>
          <w:szCs w:val="18"/>
          <w:lang w:val="en-US" w:eastAsia="zh-CN"/>
        </w:rPr>
        <w:t>With regard to FRC for dynamic range, we also think reference channel in A.15 can be reused for dynamic range. If Tx time is more than 8ms, the signal could be segmented into 2 different 8 ms Tx/Rx times.</w:t>
      </w:r>
    </w:p>
    <w:p>
      <w:pPr>
        <w:rPr>
          <w:rFonts w:hint="eastAsia"/>
          <w:b/>
          <w:bCs/>
          <w:sz w:val="20"/>
          <w:szCs w:val="18"/>
          <w:lang w:val="en-US" w:eastAsia="zh-CN"/>
        </w:rPr>
      </w:pPr>
      <w:r>
        <w:rPr>
          <w:rFonts w:hint="eastAsia"/>
          <w:b/>
          <w:bCs/>
          <w:sz w:val="20"/>
          <w:szCs w:val="18"/>
          <w:lang w:val="en-US" w:eastAsia="zh-CN"/>
        </w:rPr>
        <w:t>Proposal 3: It is proposed to reuse reference channel in A.15 for dynamic range for IoT-NTN TDD band 249.</w:t>
      </w:r>
    </w:p>
    <w:p>
      <w:pPr>
        <w:bidi w:val="0"/>
        <w:jc w:val="both"/>
        <w:rPr>
          <w:rFonts w:hint="default" w:cs="Times New Roman"/>
          <w:sz w:val="20"/>
          <w:szCs w:val="20"/>
          <w:lang w:val="en-US" w:eastAsia="zh-CN"/>
        </w:rPr>
      </w:pPr>
      <w:r>
        <w:rPr>
          <w:rFonts w:hint="eastAsia" w:cs="Times New Roman"/>
          <w:sz w:val="20"/>
          <w:szCs w:val="20"/>
          <w:lang w:val="en-US" w:eastAsia="zh-CN"/>
        </w:rPr>
        <w:t>For dynamic range, it is also band agnostic. For IoT-NTN TDD band 249, the existing dynamic range in Table 7.3.2-2 and Table 7.3.2-3 in 36.108 can be reused.</w:t>
      </w:r>
    </w:p>
    <w:p>
      <w:pPr>
        <w:bidi w:val="0"/>
        <w:jc w:val="both"/>
        <w:rPr>
          <w:rFonts w:hint="eastAsia"/>
          <w:b/>
          <w:bCs/>
          <w:sz w:val="20"/>
          <w:szCs w:val="18"/>
          <w:lang w:val="en-US" w:eastAsia="zh-CN"/>
        </w:rPr>
      </w:pPr>
      <w:r>
        <w:rPr>
          <w:rFonts w:hint="eastAsia"/>
          <w:b/>
          <w:bCs/>
          <w:sz w:val="20"/>
          <w:szCs w:val="18"/>
          <w:lang w:val="en-US" w:eastAsia="zh-CN"/>
        </w:rPr>
        <w:t>Proposal 4: It is proposed to reuse the existing REFSENS requirements in Table 7.3.2-2 and Table 7.3.2-3 in 36.108 for IoT-NTN TDD band 249.</w:t>
      </w:r>
    </w:p>
    <w:p>
      <w:pPr>
        <w:bidi w:val="0"/>
        <w:rPr>
          <w:rFonts w:hint="eastAsia"/>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the impact on RF due to the periodic pattern </w:t>
      </w:r>
      <w:r>
        <w:rPr>
          <w:rFonts w:hint="eastAsia" w:ascii="Times New Roman" w:hAnsi="Times New Roman" w:eastAsia="宋体" w:cs="Times New Roman"/>
          <w:b w:val="0"/>
          <w:bCs w:val="0"/>
          <w:kern w:val="0"/>
          <w:sz w:val="20"/>
          <w:szCs w:val="20"/>
          <w:highlight w:val="none"/>
          <w:lang w:val="en-US" w:eastAsia="zh-CN" w:bidi="ar-SA"/>
        </w:rPr>
        <w:t>and the</w:t>
      </w:r>
      <w:r>
        <w:rPr>
          <w:rFonts w:hint="eastAsia" w:cs="Times New Roman"/>
          <w:b w:val="0"/>
          <w:bCs w:val="0"/>
          <w:kern w:val="0"/>
          <w:sz w:val="20"/>
          <w:szCs w:val="20"/>
          <w:highlight w:val="none"/>
          <w:lang w:val="en-US" w:eastAsia="zh-CN" w:bidi="ar-SA"/>
        </w:rPr>
        <w:t xml:space="preserve"> observations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bidi w:val="0"/>
        <w:jc w:val="both"/>
        <w:rPr>
          <w:rFonts w:hint="eastAsia"/>
          <w:b/>
          <w:bCs/>
          <w:sz w:val="20"/>
          <w:szCs w:val="18"/>
          <w:lang w:val="en-US" w:eastAsia="zh-CN"/>
        </w:rPr>
      </w:pPr>
      <w:r>
        <w:rPr>
          <w:rFonts w:hint="eastAsia"/>
          <w:b/>
          <w:bCs/>
          <w:sz w:val="20"/>
          <w:szCs w:val="18"/>
          <w:lang w:val="en-US" w:eastAsia="zh-CN"/>
        </w:rPr>
        <w:t>Proposal 1: It is proposed to reuse reference channel in A.14 for REFSENS for IoT-NTN TDD band 249 and segment the signal into 2 different 8 ms Tx/Rx times.</w:t>
      </w:r>
    </w:p>
    <w:p>
      <w:pPr>
        <w:bidi w:val="0"/>
        <w:jc w:val="both"/>
        <w:rPr>
          <w:rFonts w:hint="eastAsia"/>
          <w:b/>
          <w:bCs/>
          <w:sz w:val="20"/>
          <w:szCs w:val="18"/>
          <w:lang w:val="en-US" w:eastAsia="zh-CN"/>
        </w:rPr>
      </w:pPr>
      <w:r>
        <w:rPr>
          <w:rFonts w:hint="eastAsia"/>
          <w:b/>
          <w:bCs/>
          <w:sz w:val="20"/>
          <w:szCs w:val="18"/>
          <w:lang w:val="en-US" w:eastAsia="zh-CN"/>
        </w:rPr>
        <w:t>Proposal 2: It is proposed to reuse the existing REFSENS requirements in Table 7.2.2-3 and Table 7.2.2-4 in 36.108 for IoT-NTN TDD band 249.</w:t>
      </w:r>
    </w:p>
    <w:p>
      <w:pPr>
        <w:rPr>
          <w:rFonts w:hint="eastAsia"/>
          <w:b/>
          <w:bCs/>
          <w:sz w:val="20"/>
          <w:szCs w:val="18"/>
          <w:lang w:val="en-US" w:eastAsia="zh-CN"/>
        </w:rPr>
      </w:pPr>
      <w:r>
        <w:rPr>
          <w:rFonts w:hint="eastAsia"/>
          <w:b/>
          <w:bCs/>
          <w:sz w:val="20"/>
          <w:szCs w:val="18"/>
          <w:lang w:val="en-US" w:eastAsia="zh-CN"/>
        </w:rPr>
        <w:t>Proposal 3: It is proposed to reuse reference channel in A.15 for dynamic range for IoT-NTN TDD band 249.</w:t>
      </w:r>
    </w:p>
    <w:p>
      <w:pPr>
        <w:bidi w:val="0"/>
        <w:jc w:val="both"/>
        <w:rPr>
          <w:rFonts w:hint="eastAsia"/>
          <w:b/>
          <w:bCs/>
          <w:sz w:val="20"/>
          <w:szCs w:val="18"/>
          <w:lang w:val="en-US" w:eastAsia="zh-CN"/>
        </w:rPr>
      </w:pPr>
      <w:r>
        <w:rPr>
          <w:rFonts w:hint="eastAsia"/>
          <w:b/>
          <w:bCs/>
          <w:sz w:val="20"/>
          <w:szCs w:val="18"/>
          <w:lang w:val="en-US" w:eastAsia="zh-CN"/>
        </w:rPr>
        <w:t>Proposal 4: It is proposed to reuse the existing REFSENS requirements in Table 7.3.2-2 and Table 7.3.2-3 in 36.108 for IoT-NTN TDD band 249.</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RP-243293, Revised WID on introduction of IoT-NTN TDD mode, Iridium Satellite LLC</w:t>
      </w:r>
    </w:p>
    <w:p>
      <w:pPr>
        <w:keepNext/>
        <w:keepLines/>
        <w:pageBreakBefore w:val="0"/>
        <w:widowControl/>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default"/>
          <w:color w:val="auto"/>
          <w:lang w:val="en-US" w:eastAsia="zh-CN"/>
        </w:rPr>
        <w:t xml:space="preserve"> R4-2502292</w:t>
      </w:r>
      <w:r>
        <w:rPr>
          <w:rFonts w:hint="eastAsia"/>
          <w:color w:val="auto"/>
          <w:lang w:val="en-US" w:eastAsia="zh-CN"/>
        </w:rPr>
        <w:t>, Way Forward for [114][318] IoT_NTN_TDD_UE_SAN_RF, Moderator (THALES)</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0000002"/>
    <w:multiLevelType w:val="singleLevel"/>
    <w:tmpl w:val="00000002"/>
    <w:lvl w:ilvl="0" w:tentative="0">
      <w:start w:val="1"/>
      <w:numFmt w:val="bullet"/>
      <w:lvlText w:val=""/>
      <w:lvlJc w:val="left"/>
      <w:pPr>
        <w:ind w:left="720" w:hanging="360"/>
      </w:pPr>
      <w:rPr>
        <w:rFonts w:hint="default" w:ascii="Symbol" w:hAnsi="Symbo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8FC5F2F"/>
    <w:multiLevelType w:val="multilevel"/>
    <w:tmpl w:val="38FC5F2F"/>
    <w:lvl w:ilvl="0" w:tentative="0">
      <w:start w:val="0"/>
      <w:numFmt w:val="bullet"/>
      <w:lvlText w:val="-"/>
      <w:lvlJc w:val="left"/>
      <w:pPr>
        <w:ind w:left="720" w:hanging="360"/>
      </w:pPr>
      <w:rPr>
        <w:rFonts w:hint="default" w:ascii="Times New Roman" w:hAnsi="Times New Roman" w:eastAsia="宋体" w:cs="Times New Roman"/>
        <w:b w:val="0"/>
        <w:sz w:val="2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F723A5E"/>
    <w:multiLevelType w:val="singleLevel"/>
    <w:tmpl w:val="5F723A5E"/>
    <w:lvl w:ilvl="0" w:tentative="0">
      <w:start w:val="1"/>
      <w:numFmt w:val="decimal"/>
      <w:suff w:val="space"/>
      <w:lvlText w:val="[%1]"/>
      <w:lvlJc w:val="left"/>
    </w:lvl>
  </w:abstractNum>
  <w:abstractNum w:abstractNumId="9">
    <w:nsid w:val="6532722C"/>
    <w:multiLevelType w:val="multilevel"/>
    <w:tmpl w:val="653272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10"/>
  </w:num>
  <w:num w:numId="3">
    <w:abstractNumId w:val="7"/>
  </w:num>
  <w:num w:numId="4">
    <w:abstractNumId w:val="4"/>
  </w:num>
  <w:num w:numId="5">
    <w:abstractNumId w:val="6"/>
  </w:num>
  <w:num w:numId="6">
    <w:abstractNumId w:val="1"/>
  </w:num>
  <w:num w:numId="7">
    <w:abstractNumId w:val="0"/>
  </w:num>
  <w:num w:numId="8">
    <w:abstractNumId w:val="2"/>
  </w:num>
  <w:num w:numId="9">
    <w:abstractNumId w:val="9"/>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32182"/>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03A5C"/>
    <w:rsid w:val="03445E8F"/>
    <w:rsid w:val="03496C64"/>
    <w:rsid w:val="035154D3"/>
    <w:rsid w:val="03527C38"/>
    <w:rsid w:val="0356746F"/>
    <w:rsid w:val="035909AA"/>
    <w:rsid w:val="0360259A"/>
    <w:rsid w:val="036522E7"/>
    <w:rsid w:val="036E37C2"/>
    <w:rsid w:val="03746F87"/>
    <w:rsid w:val="037C6EF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142BDC"/>
    <w:rsid w:val="04242D1B"/>
    <w:rsid w:val="04251A4C"/>
    <w:rsid w:val="042D2E97"/>
    <w:rsid w:val="04305EA0"/>
    <w:rsid w:val="04310833"/>
    <w:rsid w:val="04343921"/>
    <w:rsid w:val="04346443"/>
    <w:rsid w:val="043865BF"/>
    <w:rsid w:val="043A14AD"/>
    <w:rsid w:val="044C78D8"/>
    <w:rsid w:val="04537B11"/>
    <w:rsid w:val="04557675"/>
    <w:rsid w:val="04684A28"/>
    <w:rsid w:val="046C0EAE"/>
    <w:rsid w:val="04782230"/>
    <w:rsid w:val="0479507E"/>
    <w:rsid w:val="047B05A3"/>
    <w:rsid w:val="04894975"/>
    <w:rsid w:val="04922411"/>
    <w:rsid w:val="0492397B"/>
    <w:rsid w:val="04A65723"/>
    <w:rsid w:val="04B14B03"/>
    <w:rsid w:val="04BC365E"/>
    <w:rsid w:val="04CF6607"/>
    <w:rsid w:val="04D46535"/>
    <w:rsid w:val="04DA1A87"/>
    <w:rsid w:val="04DC0F32"/>
    <w:rsid w:val="04DC52CD"/>
    <w:rsid w:val="04DE2DA3"/>
    <w:rsid w:val="04DF3C0B"/>
    <w:rsid w:val="04EB6DF8"/>
    <w:rsid w:val="04FF1C94"/>
    <w:rsid w:val="04FF7D5A"/>
    <w:rsid w:val="0502349F"/>
    <w:rsid w:val="050C587A"/>
    <w:rsid w:val="050E7487"/>
    <w:rsid w:val="05161D2D"/>
    <w:rsid w:val="05176359"/>
    <w:rsid w:val="051B5DBA"/>
    <w:rsid w:val="0522500E"/>
    <w:rsid w:val="052E568F"/>
    <w:rsid w:val="05344105"/>
    <w:rsid w:val="053973F0"/>
    <w:rsid w:val="053E65E7"/>
    <w:rsid w:val="054B2F7A"/>
    <w:rsid w:val="0555228E"/>
    <w:rsid w:val="05595938"/>
    <w:rsid w:val="055A6B82"/>
    <w:rsid w:val="05636085"/>
    <w:rsid w:val="056D5BF6"/>
    <w:rsid w:val="057D1D66"/>
    <w:rsid w:val="059D265F"/>
    <w:rsid w:val="059E1515"/>
    <w:rsid w:val="05AD1B88"/>
    <w:rsid w:val="05B92EC1"/>
    <w:rsid w:val="05D05BD2"/>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676354"/>
    <w:rsid w:val="066E5330"/>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72694"/>
    <w:rsid w:val="070E5E48"/>
    <w:rsid w:val="07105178"/>
    <w:rsid w:val="0712124C"/>
    <w:rsid w:val="071C13A8"/>
    <w:rsid w:val="073D143C"/>
    <w:rsid w:val="074454BD"/>
    <w:rsid w:val="074855FD"/>
    <w:rsid w:val="07601DB8"/>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8F7D75"/>
    <w:rsid w:val="089B31B3"/>
    <w:rsid w:val="089B79D9"/>
    <w:rsid w:val="08A44DA6"/>
    <w:rsid w:val="08AA245A"/>
    <w:rsid w:val="08AD2ACC"/>
    <w:rsid w:val="08B76C9F"/>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92119"/>
    <w:rsid w:val="09445E95"/>
    <w:rsid w:val="0949114B"/>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23E40"/>
    <w:rsid w:val="09F67CD5"/>
    <w:rsid w:val="0A054821"/>
    <w:rsid w:val="0A077A43"/>
    <w:rsid w:val="0A0835C8"/>
    <w:rsid w:val="0A0C17EE"/>
    <w:rsid w:val="0A145721"/>
    <w:rsid w:val="0A355EAA"/>
    <w:rsid w:val="0A3708FF"/>
    <w:rsid w:val="0A3B01F9"/>
    <w:rsid w:val="0A3F0488"/>
    <w:rsid w:val="0A402A36"/>
    <w:rsid w:val="0A4236A3"/>
    <w:rsid w:val="0A4E7EF5"/>
    <w:rsid w:val="0A596130"/>
    <w:rsid w:val="0A5D1B42"/>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130D7"/>
    <w:rsid w:val="0B0250FD"/>
    <w:rsid w:val="0B0F025C"/>
    <w:rsid w:val="0B1A6333"/>
    <w:rsid w:val="0B267BFC"/>
    <w:rsid w:val="0B2713F4"/>
    <w:rsid w:val="0B334367"/>
    <w:rsid w:val="0B347FF6"/>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D95048"/>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883C88"/>
    <w:rsid w:val="0D8A6002"/>
    <w:rsid w:val="0D9074CF"/>
    <w:rsid w:val="0D936E72"/>
    <w:rsid w:val="0D966BF7"/>
    <w:rsid w:val="0DB54F84"/>
    <w:rsid w:val="0DB84465"/>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CE6156"/>
    <w:rsid w:val="0EEC6F1D"/>
    <w:rsid w:val="0F0621F6"/>
    <w:rsid w:val="0F103291"/>
    <w:rsid w:val="0F15660A"/>
    <w:rsid w:val="0F1D0EA6"/>
    <w:rsid w:val="0F1D498B"/>
    <w:rsid w:val="0F22242C"/>
    <w:rsid w:val="0F337178"/>
    <w:rsid w:val="0F3B15FC"/>
    <w:rsid w:val="0F41022A"/>
    <w:rsid w:val="0F56743B"/>
    <w:rsid w:val="0F60682C"/>
    <w:rsid w:val="0F66194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123EF8"/>
    <w:rsid w:val="11124F2E"/>
    <w:rsid w:val="11125358"/>
    <w:rsid w:val="111F38A5"/>
    <w:rsid w:val="111F6CBE"/>
    <w:rsid w:val="112D2A42"/>
    <w:rsid w:val="11382D66"/>
    <w:rsid w:val="113A22DB"/>
    <w:rsid w:val="114028DC"/>
    <w:rsid w:val="11441C15"/>
    <w:rsid w:val="11583891"/>
    <w:rsid w:val="1159252B"/>
    <w:rsid w:val="1160765D"/>
    <w:rsid w:val="116F1EB0"/>
    <w:rsid w:val="11727495"/>
    <w:rsid w:val="117A242E"/>
    <w:rsid w:val="117B1D6A"/>
    <w:rsid w:val="117C2D9D"/>
    <w:rsid w:val="117F159E"/>
    <w:rsid w:val="11821DC9"/>
    <w:rsid w:val="11824A0F"/>
    <w:rsid w:val="11897A08"/>
    <w:rsid w:val="11921373"/>
    <w:rsid w:val="119A72EE"/>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C144F"/>
    <w:rsid w:val="127E5AA6"/>
    <w:rsid w:val="12811F99"/>
    <w:rsid w:val="128B2749"/>
    <w:rsid w:val="128E1E81"/>
    <w:rsid w:val="129019B5"/>
    <w:rsid w:val="129811DB"/>
    <w:rsid w:val="129937EE"/>
    <w:rsid w:val="129E6282"/>
    <w:rsid w:val="129F3A3A"/>
    <w:rsid w:val="12AA7237"/>
    <w:rsid w:val="12AB7A32"/>
    <w:rsid w:val="12BB6535"/>
    <w:rsid w:val="12C7312B"/>
    <w:rsid w:val="12D22971"/>
    <w:rsid w:val="12D469A6"/>
    <w:rsid w:val="12D85654"/>
    <w:rsid w:val="12DF4A87"/>
    <w:rsid w:val="12E265EC"/>
    <w:rsid w:val="12E706B5"/>
    <w:rsid w:val="12EE5106"/>
    <w:rsid w:val="12F777F2"/>
    <w:rsid w:val="1307341C"/>
    <w:rsid w:val="130C40FE"/>
    <w:rsid w:val="130E3629"/>
    <w:rsid w:val="13125197"/>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D2018"/>
    <w:rsid w:val="14CE33C4"/>
    <w:rsid w:val="14D60E60"/>
    <w:rsid w:val="14DA3DA1"/>
    <w:rsid w:val="14E60B42"/>
    <w:rsid w:val="14E75E9B"/>
    <w:rsid w:val="14EA1C4D"/>
    <w:rsid w:val="14ED27DF"/>
    <w:rsid w:val="14EF0267"/>
    <w:rsid w:val="14FB736A"/>
    <w:rsid w:val="150222BF"/>
    <w:rsid w:val="150F7C33"/>
    <w:rsid w:val="151178FC"/>
    <w:rsid w:val="1515004B"/>
    <w:rsid w:val="151B7C99"/>
    <w:rsid w:val="15207BBA"/>
    <w:rsid w:val="15222DA1"/>
    <w:rsid w:val="15256B65"/>
    <w:rsid w:val="152F4E1B"/>
    <w:rsid w:val="1546665E"/>
    <w:rsid w:val="154806E1"/>
    <w:rsid w:val="154D342A"/>
    <w:rsid w:val="15581ED5"/>
    <w:rsid w:val="1559587F"/>
    <w:rsid w:val="155E7DEC"/>
    <w:rsid w:val="15740334"/>
    <w:rsid w:val="1574662E"/>
    <w:rsid w:val="15751882"/>
    <w:rsid w:val="1575191B"/>
    <w:rsid w:val="157818C6"/>
    <w:rsid w:val="1596622F"/>
    <w:rsid w:val="159F73BB"/>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26131"/>
    <w:rsid w:val="171E63FC"/>
    <w:rsid w:val="1722504D"/>
    <w:rsid w:val="17306175"/>
    <w:rsid w:val="1738730F"/>
    <w:rsid w:val="17416499"/>
    <w:rsid w:val="17481B81"/>
    <w:rsid w:val="17481E8B"/>
    <w:rsid w:val="174A69B0"/>
    <w:rsid w:val="174E6562"/>
    <w:rsid w:val="175007ED"/>
    <w:rsid w:val="175D7538"/>
    <w:rsid w:val="17605E9B"/>
    <w:rsid w:val="17611CB8"/>
    <w:rsid w:val="176B45C6"/>
    <w:rsid w:val="176C447F"/>
    <w:rsid w:val="17850F99"/>
    <w:rsid w:val="17875303"/>
    <w:rsid w:val="178815C4"/>
    <w:rsid w:val="17891C0B"/>
    <w:rsid w:val="178F2F4E"/>
    <w:rsid w:val="1793626E"/>
    <w:rsid w:val="17991452"/>
    <w:rsid w:val="17A64F51"/>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E30DF"/>
    <w:rsid w:val="17FF6314"/>
    <w:rsid w:val="18005F41"/>
    <w:rsid w:val="18025414"/>
    <w:rsid w:val="18171305"/>
    <w:rsid w:val="1820454C"/>
    <w:rsid w:val="1829280B"/>
    <w:rsid w:val="18326934"/>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252B6"/>
    <w:rsid w:val="18926336"/>
    <w:rsid w:val="18956393"/>
    <w:rsid w:val="189C5943"/>
    <w:rsid w:val="18A8582C"/>
    <w:rsid w:val="18B50543"/>
    <w:rsid w:val="18CA40C3"/>
    <w:rsid w:val="18CD7A02"/>
    <w:rsid w:val="18D904AC"/>
    <w:rsid w:val="18DC1AEF"/>
    <w:rsid w:val="18DF5689"/>
    <w:rsid w:val="18E50F55"/>
    <w:rsid w:val="18F74015"/>
    <w:rsid w:val="19001FFC"/>
    <w:rsid w:val="1906538E"/>
    <w:rsid w:val="19083894"/>
    <w:rsid w:val="190E2B4A"/>
    <w:rsid w:val="191D2068"/>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D47B8"/>
    <w:rsid w:val="1B9E64C5"/>
    <w:rsid w:val="1B9E6D4C"/>
    <w:rsid w:val="1BB07CEA"/>
    <w:rsid w:val="1BBD43BA"/>
    <w:rsid w:val="1BC01115"/>
    <w:rsid w:val="1BC44015"/>
    <w:rsid w:val="1BC96DA5"/>
    <w:rsid w:val="1BCA6284"/>
    <w:rsid w:val="1BCC6C47"/>
    <w:rsid w:val="1BE32C74"/>
    <w:rsid w:val="1BF64632"/>
    <w:rsid w:val="1BF72906"/>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8F53D9"/>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614BDA"/>
    <w:rsid w:val="1D70348C"/>
    <w:rsid w:val="1D7072CE"/>
    <w:rsid w:val="1D794A16"/>
    <w:rsid w:val="1D80759A"/>
    <w:rsid w:val="1D8A021B"/>
    <w:rsid w:val="1D9E30A9"/>
    <w:rsid w:val="1DA778AD"/>
    <w:rsid w:val="1DAB1006"/>
    <w:rsid w:val="1DAB2A0A"/>
    <w:rsid w:val="1DB33C11"/>
    <w:rsid w:val="1DC65562"/>
    <w:rsid w:val="1DD34749"/>
    <w:rsid w:val="1DDD201B"/>
    <w:rsid w:val="1DE94164"/>
    <w:rsid w:val="1DEE1B11"/>
    <w:rsid w:val="1E105A20"/>
    <w:rsid w:val="1E164B52"/>
    <w:rsid w:val="1E26583C"/>
    <w:rsid w:val="1E273844"/>
    <w:rsid w:val="1E2F243E"/>
    <w:rsid w:val="1E3B4F6B"/>
    <w:rsid w:val="1E455D19"/>
    <w:rsid w:val="1E595CAF"/>
    <w:rsid w:val="1E5C31E8"/>
    <w:rsid w:val="1E6607F9"/>
    <w:rsid w:val="1E691070"/>
    <w:rsid w:val="1E7E6BFD"/>
    <w:rsid w:val="1E805396"/>
    <w:rsid w:val="1E821B53"/>
    <w:rsid w:val="1E884F62"/>
    <w:rsid w:val="1E8D685D"/>
    <w:rsid w:val="1E984238"/>
    <w:rsid w:val="1E9D6342"/>
    <w:rsid w:val="1E9D6D15"/>
    <w:rsid w:val="1EA1252E"/>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D4715"/>
    <w:rsid w:val="1F4F2219"/>
    <w:rsid w:val="1F614D01"/>
    <w:rsid w:val="1F721405"/>
    <w:rsid w:val="1F935819"/>
    <w:rsid w:val="1FA036A3"/>
    <w:rsid w:val="1FA628A2"/>
    <w:rsid w:val="1FA6556D"/>
    <w:rsid w:val="1FAF2571"/>
    <w:rsid w:val="1FB33036"/>
    <w:rsid w:val="1FC55EDA"/>
    <w:rsid w:val="1FC658C9"/>
    <w:rsid w:val="1FCE593C"/>
    <w:rsid w:val="1FE05A44"/>
    <w:rsid w:val="1FE312AC"/>
    <w:rsid w:val="1FEC5915"/>
    <w:rsid w:val="1FED32EF"/>
    <w:rsid w:val="1FF82884"/>
    <w:rsid w:val="201E6D7C"/>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36B92"/>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26635F"/>
    <w:rsid w:val="222D4F0B"/>
    <w:rsid w:val="223A29CF"/>
    <w:rsid w:val="223D7545"/>
    <w:rsid w:val="22411D14"/>
    <w:rsid w:val="22423BE1"/>
    <w:rsid w:val="22454449"/>
    <w:rsid w:val="22500810"/>
    <w:rsid w:val="22596EC8"/>
    <w:rsid w:val="226347BD"/>
    <w:rsid w:val="22682935"/>
    <w:rsid w:val="226E0A7E"/>
    <w:rsid w:val="227E0D30"/>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536618"/>
    <w:rsid w:val="236A33AF"/>
    <w:rsid w:val="236C1BCA"/>
    <w:rsid w:val="237464D5"/>
    <w:rsid w:val="23816932"/>
    <w:rsid w:val="238E01E4"/>
    <w:rsid w:val="23925D42"/>
    <w:rsid w:val="239C062C"/>
    <w:rsid w:val="23A9484E"/>
    <w:rsid w:val="23B32F98"/>
    <w:rsid w:val="23B84268"/>
    <w:rsid w:val="23D17D7B"/>
    <w:rsid w:val="23D36D91"/>
    <w:rsid w:val="23E02099"/>
    <w:rsid w:val="23F70BA5"/>
    <w:rsid w:val="23F93D0D"/>
    <w:rsid w:val="2405417E"/>
    <w:rsid w:val="24197365"/>
    <w:rsid w:val="241B5C62"/>
    <w:rsid w:val="24312CB0"/>
    <w:rsid w:val="243A6CBE"/>
    <w:rsid w:val="24513B48"/>
    <w:rsid w:val="245217A3"/>
    <w:rsid w:val="2458381E"/>
    <w:rsid w:val="245872F9"/>
    <w:rsid w:val="245943D9"/>
    <w:rsid w:val="245E6B64"/>
    <w:rsid w:val="2463385E"/>
    <w:rsid w:val="246B2606"/>
    <w:rsid w:val="24767C7B"/>
    <w:rsid w:val="247C178B"/>
    <w:rsid w:val="24861BCE"/>
    <w:rsid w:val="2486388F"/>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658A2"/>
    <w:rsid w:val="25691F8B"/>
    <w:rsid w:val="256C13EF"/>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83216"/>
    <w:rsid w:val="26EC491A"/>
    <w:rsid w:val="26ED73E1"/>
    <w:rsid w:val="26F503CD"/>
    <w:rsid w:val="27036506"/>
    <w:rsid w:val="27047832"/>
    <w:rsid w:val="2706037D"/>
    <w:rsid w:val="27077793"/>
    <w:rsid w:val="270D152E"/>
    <w:rsid w:val="27104BA3"/>
    <w:rsid w:val="271436A9"/>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4420E"/>
    <w:rsid w:val="28E74216"/>
    <w:rsid w:val="28E87EE4"/>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0500B"/>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24349"/>
    <w:rsid w:val="2A87174E"/>
    <w:rsid w:val="2A8A2F9C"/>
    <w:rsid w:val="2AA45D17"/>
    <w:rsid w:val="2AAB3B94"/>
    <w:rsid w:val="2AAC5A06"/>
    <w:rsid w:val="2AB22DE3"/>
    <w:rsid w:val="2AB369FC"/>
    <w:rsid w:val="2AB775FB"/>
    <w:rsid w:val="2ABB3D6F"/>
    <w:rsid w:val="2AC318D9"/>
    <w:rsid w:val="2AC70B30"/>
    <w:rsid w:val="2ACC2AAF"/>
    <w:rsid w:val="2ACD717C"/>
    <w:rsid w:val="2AD74744"/>
    <w:rsid w:val="2AD91AC2"/>
    <w:rsid w:val="2AE57C95"/>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725D0"/>
    <w:rsid w:val="2BEF631E"/>
    <w:rsid w:val="2BF369B9"/>
    <w:rsid w:val="2BFC0A4A"/>
    <w:rsid w:val="2C094904"/>
    <w:rsid w:val="2C0E55A1"/>
    <w:rsid w:val="2C14030B"/>
    <w:rsid w:val="2C346DB5"/>
    <w:rsid w:val="2C3A7BF6"/>
    <w:rsid w:val="2C425BCE"/>
    <w:rsid w:val="2C44676A"/>
    <w:rsid w:val="2C495C38"/>
    <w:rsid w:val="2C4A080C"/>
    <w:rsid w:val="2C4E77B9"/>
    <w:rsid w:val="2C54533B"/>
    <w:rsid w:val="2C591378"/>
    <w:rsid w:val="2C5C1E78"/>
    <w:rsid w:val="2C722F9A"/>
    <w:rsid w:val="2C797A76"/>
    <w:rsid w:val="2C8B6C0E"/>
    <w:rsid w:val="2C8F4862"/>
    <w:rsid w:val="2C9E5AC8"/>
    <w:rsid w:val="2CA05674"/>
    <w:rsid w:val="2CA2721B"/>
    <w:rsid w:val="2CA63A0C"/>
    <w:rsid w:val="2CAC6D87"/>
    <w:rsid w:val="2CB23B2C"/>
    <w:rsid w:val="2CB268EE"/>
    <w:rsid w:val="2CB600FC"/>
    <w:rsid w:val="2CBE6567"/>
    <w:rsid w:val="2CCB6E18"/>
    <w:rsid w:val="2CCF5C52"/>
    <w:rsid w:val="2CE01F07"/>
    <w:rsid w:val="2CE8526F"/>
    <w:rsid w:val="2D024DC7"/>
    <w:rsid w:val="2D026315"/>
    <w:rsid w:val="2D0764BD"/>
    <w:rsid w:val="2D0A3DA2"/>
    <w:rsid w:val="2D0B3169"/>
    <w:rsid w:val="2D0D4219"/>
    <w:rsid w:val="2D105AFA"/>
    <w:rsid w:val="2D222897"/>
    <w:rsid w:val="2D2279B8"/>
    <w:rsid w:val="2D260795"/>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241E5D"/>
    <w:rsid w:val="2E2D64A9"/>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5B737E"/>
    <w:rsid w:val="2F664E2B"/>
    <w:rsid w:val="2F6C7BE3"/>
    <w:rsid w:val="2F6E35CB"/>
    <w:rsid w:val="2F783485"/>
    <w:rsid w:val="2F7A17CB"/>
    <w:rsid w:val="2F7A78AC"/>
    <w:rsid w:val="2F7F5C0B"/>
    <w:rsid w:val="2F895685"/>
    <w:rsid w:val="2F9A13B4"/>
    <w:rsid w:val="2FA417BA"/>
    <w:rsid w:val="2FA6492D"/>
    <w:rsid w:val="2FC86676"/>
    <w:rsid w:val="2FD17A1B"/>
    <w:rsid w:val="2FD71CA4"/>
    <w:rsid w:val="2FDC432A"/>
    <w:rsid w:val="2FDC4A8D"/>
    <w:rsid w:val="2FE27109"/>
    <w:rsid w:val="2FEA743A"/>
    <w:rsid w:val="2FF24D11"/>
    <w:rsid w:val="2FF93066"/>
    <w:rsid w:val="301742B2"/>
    <w:rsid w:val="301A1509"/>
    <w:rsid w:val="301A71CE"/>
    <w:rsid w:val="301D63DD"/>
    <w:rsid w:val="301E049B"/>
    <w:rsid w:val="302A4BE6"/>
    <w:rsid w:val="304478EC"/>
    <w:rsid w:val="304F4511"/>
    <w:rsid w:val="30515C8E"/>
    <w:rsid w:val="305823FF"/>
    <w:rsid w:val="306B7868"/>
    <w:rsid w:val="30830761"/>
    <w:rsid w:val="30926F91"/>
    <w:rsid w:val="30962F3E"/>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A531B"/>
    <w:rsid w:val="310E6387"/>
    <w:rsid w:val="310E6A63"/>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901F5"/>
    <w:rsid w:val="320B7CCB"/>
    <w:rsid w:val="32105DE8"/>
    <w:rsid w:val="32286907"/>
    <w:rsid w:val="322E2721"/>
    <w:rsid w:val="3235187E"/>
    <w:rsid w:val="3237186B"/>
    <w:rsid w:val="323B6798"/>
    <w:rsid w:val="32537B57"/>
    <w:rsid w:val="325779E7"/>
    <w:rsid w:val="325F618E"/>
    <w:rsid w:val="326F2594"/>
    <w:rsid w:val="32757E99"/>
    <w:rsid w:val="327D43E5"/>
    <w:rsid w:val="32842CF3"/>
    <w:rsid w:val="328F2182"/>
    <w:rsid w:val="328F5534"/>
    <w:rsid w:val="329A6217"/>
    <w:rsid w:val="329A6ACE"/>
    <w:rsid w:val="329C2950"/>
    <w:rsid w:val="32A145CA"/>
    <w:rsid w:val="32A230DB"/>
    <w:rsid w:val="32A53B76"/>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73B77"/>
    <w:rsid w:val="33AD5111"/>
    <w:rsid w:val="33BF4199"/>
    <w:rsid w:val="33CD23A8"/>
    <w:rsid w:val="33CD6498"/>
    <w:rsid w:val="33D7554F"/>
    <w:rsid w:val="33D825FA"/>
    <w:rsid w:val="33DB2AB1"/>
    <w:rsid w:val="33FE62E7"/>
    <w:rsid w:val="33FF7B8B"/>
    <w:rsid w:val="34080399"/>
    <w:rsid w:val="340D25F6"/>
    <w:rsid w:val="34161D6C"/>
    <w:rsid w:val="341E19AD"/>
    <w:rsid w:val="3423329A"/>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B3DA5"/>
    <w:rsid w:val="34EE6187"/>
    <w:rsid w:val="350A65C4"/>
    <w:rsid w:val="350B42D5"/>
    <w:rsid w:val="350F6258"/>
    <w:rsid w:val="351A603C"/>
    <w:rsid w:val="35257EF7"/>
    <w:rsid w:val="352821F6"/>
    <w:rsid w:val="3533698A"/>
    <w:rsid w:val="35387F19"/>
    <w:rsid w:val="3539550B"/>
    <w:rsid w:val="353F4C79"/>
    <w:rsid w:val="354319AA"/>
    <w:rsid w:val="354A6DB3"/>
    <w:rsid w:val="354D5E0E"/>
    <w:rsid w:val="355D10E3"/>
    <w:rsid w:val="356150BC"/>
    <w:rsid w:val="356678B4"/>
    <w:rsid w:val="3573649F"/>
    <w:rsid w:val="35774602"/>
    <w:rsid w:val="357E4B0A"/>
    <w:rsid w:val="35866D7F"/>
    <w:rsid w:val="358F6BDF"/>
    <w:rsid w:val="35917C0B"/>
    <w:rsid w:val="35A26AC9"/>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25B4"/>
    <w:rsid w:val="368230C6"/>
    <w:rsid w:val="36843A03"/>
    <w:rsid w:val="368F7E4F"/>
    <w:rsid w:val="36985297"/>
    <w:rsid w:val="369F633B"/>
    <w:rsid w:val="36A30FDB"/>
    <w:rsid w:val="36A7007C"/>
    <w:rsid w:val="36AB07EC"/>
    <w:rsid w:val="36AE37C2"/>
    <w:rsid w:val="36B24AE8"/>
    <w:rsid w:val="36BD0DC4"/>
    <w:rsid w:val="36BF1749"/>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525116"/>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57B13"/>
    <w:rsid w:val="394B6470"/>
    <w:rsid w:val="395C6EA8"/>
    <w:rsid w:val="39841325"/>
    <w:rsid w:val="39872512"/>
    <w:rsid w:val="39A602F9"/>
    <w:rsid w:val="39BD45C8"/>
    <w:rsid w:val="39C2316A"/>
    <w:rsid w:val="39D17C2D"/>
    <w:rsid w:val="39F36281"/>
    <w:rsid w:val="39FD376D"/>
    <w:rsid w:val="39FD6C9C"/>
    <w:rsid w:val="39FF6B36"/>
    <w:rsid w:val="3A0224B9"/>
    <w:rsid w:val="3A0526B5"/>
    <w:rsid w:val="3A14011B"/>
    <w:rsid w:val="3A1509F4"/>
    <w:rsid w:val="3A16728B"/>
    <w:rsid w:val="3A16794C"/>
    <w:rsid w:val="3A1E055E"/>
    <w:rsid w:val="3A1F6809"/>
    <w:rsid w:val="3A226969"/>
    <w:rsid w:val="3A3F47CE"/>
    <w:rsid w:val="3A410243"/>
    <w:rsid w:val="3A475185"/>
    <w:rsid w:val="3A4E1C5D"/>
    <w:rsid w:val="3A523735"/>
    <w:rsid w:val="3A557AE4"/>
    <w:rsid w:val="3A6B0F84"/>
    <w:rsid w:val="3A727435"/>
    <w:rsid w:val="3A813EA6"/>
    <w:rsid w:val="3A94055A"/>
    <w:rsid w:val="3AB00167"/>
    <w:rsid w:val="3AC17E3A"/>
    <w:rsid w:val="3ACB5746"/>
    <w:rsid w:val="3ACE209E"/>
    <w:rsid w:val="3AD450E7"/>
    <w:rsid w:val="3ADD2B05"/>
    <w:rsid w:val="3ADE1E5E"/>
    <w:rsid w:val="3AE36EC1"/>
    <w:rsid w:val="3AE417E3"/>
    <w:rsid w:val="3AE440AF"/>
    <w:rsid w:val="3AF7667E"/>
    <w:rsid w:val="3B113F51"/>
    <w:rsid w:val="3B192990"/>
    <w:rsid w:val="3B251957"/>
    <w:rsid w:val="3B2D3716"/>
    <w:rsid w:val="3B307112"/>
    <w:rsid w:val="3B307FDD"/>
    <w:rsid w:val="3B360108"/>
    <w:rsid w:val="3B3D1A41"/>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040CA"/>
    <w:rsid w:val="3BD569C2"/>
    <w:rsid w:val="3BD96AA6"/>
    <w:rsid w:val="3BDB053C"/>
    <w:rsid w:val="3BE4466B"/>
    <w:rsid w:val="3BEC2DB7"/>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EE2AEC"/>
    <w:rsid w:val="3CF20887"/>
    <w:rsid w:val="3CF37919"/>
    <w:rsid w:val="3CF720E3"/>
    <w:rsid w:val="3CF72D6A"/>
    <w:rsid w:val="3CF86D06"/>
    <w:rsid w:val="3D00620E"/>
    <w:rsid w:val="3D035226"/>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A926A7"/>
    <w:rsid w:val="3EB71AC8"/>
    <w:rsid w:val="3EC85E34"/>
    <w:rsid w:val="3ECF2AAC"/>
    <w:rsid w:val="3ED0424C"/>
    <w:rsid w:val="3ED07B7E"/>
    <w:rsid w:val="3EDC2C5B"/>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D877F9"/>
    <w:rsid w:val="40EC7D18"/>
    <w:rsid w:val="40ED11A0"/>
    <w:rsid w:val="40F92E97"/>
    <w:rsid w:val="40FD1BF0"/>
    <w:rsid w:val="41015E92"/>
    <w:rsid w:val="41096BC0"/>
    <w:rsid w:val="410A75B6"/>
    <w:rsid w:val="410B452A"/>
    <w:rsid w:val="41146D26"/>
    <w:rsid w:val="411B6EDC"/>
    <w:rsid w:val="413353F1"/>
    <w:rsid w:val="41464224"/>
    <w:rsid w:val="414C0B0E"/>
    <w:rsid w:val="41513BC9"/>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70BD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143B8"/>
    <w:rsid w:val="42A37FC3"/>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35C1"/>
    <w:rsid w:val="431C44AA"/>
    <w:rsid w:val="43296963"/>
    <w:rsid w:val="4332317A"/>
    <w:rsid w:val="433246A0"/>
    <w:rsid w:val="433E7EE2"/>
    <w:rsid w:val="433F6B54"/>
    <w:rsid w:val="43424AD7"/>
    <w:rsid w:val="4346543A"/>
    <w:rsid w:val="43533E29"/>
    <w:rsid w:val="43561E16"/>
    <w:rsid w:val="435B1259"/>
    <w:rsid w:val="436263D5"/>
    <w:rsid w:val="437556C4"/>
    <w:rsid w:val="43874CD4"/>
    <w:rsid w:val="43874FE8"/>
    <w:rsid w:val="438802E2"/>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D5045"/>
    <w:rsid w:val="440F6C97"/>
    <w:rsid w:val="442A45BB"/>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EB5134"/>
    <w:rsid w:val="44F03F8F"/>
    <w:rsid w:val="44F14ECF"/>
    <w:rsid w:val="45042FB1"/>
    <w:rsid w:val="45162B93"/>
    <w:rsid w:val="45234E43"/>
    <w:rsid w:val="45275172"/>
    <w:rsid w:val="452F1464"/>
    <w:rsid w:val="452F5B3A"/>
    <w:rsid w:val="45332511"/>
    <w:rsid w:val="45370B65"/>
    <w:rsid w:val="453F44DA"/>
    <w:rsid w:val="45412C46"/>
    <w:rsid w:val="4548028E"/>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26398E"/>
    <w:rsid w:val="46315F44"/>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2F0207"/>
    <w:rsid w:val="473069AF"/>
    <w:rsid w:val="47356ECD"/>
    <w:rsid w:val="474A0EAF"/>
    <w:rsid w:val="474E50BE"/>
    <w:rsid w:val="47523FA0"/>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57A48"/>
    <w:rsid w:val="47D511BD"/>
    <w:rsid w:val="47F51975"/>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11BEB"/>
    <w:rsid w:val="48C354EC"/>
    <w:rsid w:val="48CF1A39"/>
    <w:rsid w:val="48D429DD"/>
    <w:rsid w:val="48E01C77"/>
    <w:rsid w:val="48E22285"/>
    <w:rsid w:val="48E50D90"/>
    <w:rsid w:val="48EB0B49"/>
    <w:rsid w:val="48EB0D16"/>
    <w:rsid w:val="48FA15CC"/>
    <w:rsid w:val="48FF0DD1"/>
    <w:rsid w:val="49006836"/>
    <w:rsid w:val="490F071A"/>
    <w:rsid w:val="491B63DF"/>
    <w:rsid w:val="491D63E9"/>
    <w:rsid w:val="49247EB1"/>
    <w:rsid w:val="49302F0F"/>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255046"/>
    <w:rsid w:val="4A2E1525"/>
    <w:rsid w:val="4A5A756D"/>
    <w:rsid w:val="4A722B4C"/>
    <w:rsid w:val="4A785772"/>
    <w:rsid w:val="4A7A7433"/>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174032"/>
    <w:rsid w:val="4B1C3A76"/>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DB7063"/>
    <w:rsid w:val="4BDC328B"/>
    <w:rsid w:val="4BF32495"/>
    <w:rsid w:val="4BFA131A"/>
    <w:rsid w:val="4BFA3FA2"/>
    <w:rsid w:val="4C172533"/>
    <w:rsid w:val="4C1905D9"/>
    <w:rsid w:val="4C2910DF"/>
    <w:rsid w:val="4C2B4DDD"/>
    <w:rsid w:val="4C312198"/>
    <w:rsid w:val="4C336177"/>
    <w:rsid w:val="4C471A55"/>
    <w:rsid w:val="4C4B6763"/>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DF165F"/>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9A37B9"/>
    <w:rsid w:val="4DAE4B1E"/>
    <w:rsid w:val="4DAF14C5"/>
    <w:rsid w:val="4DB9067A"/>
    <w:rsid w:val="4DC605B6"/>
    <w:rsid w:val="4DD732D2"/>
    <w:rsid w:val="4DEC0985"/>
    <w:rsid w:val="4E000105"/>
    <w:rsid w:val="4E0538A3"/>
    <w:rsid w:val="4E0E6818"/>
    <w:rsid w:val="4E27683A"/>
    <w:rsid w:val="4E2D177F"/>
    <w:rsid w:val="4E321D35"/>
    <w:rsid w:val="4E397241"/>
    <w:rsid w:val="4E3C1DE4"/>
    <w:rsid w:val="4E464E00"/>
    <w:rsid w:val="4E4B2E60"/>
    <w:rsid w:val="4E4C50A3"/>
    <w:rsid w:val="4E510698"/>
    <w:rsid w:val="4E576363"/>
    <w:rsid w:val="4E59789B"/>
    <w:rsid w:val="4E5B040F"/>
    <w:rsid w:val="4E5D49B1"/>
    <w:rsid w:val="4E635567"/>
    <w:rsid w:val="4E674786"/>
    <w:rsid w:val="4E6D0F25"/>
    <w:rsid w:val="4E6F309C"/>
    <w:rsid w:val="4E6F6548"/>
    <w:rsid w:val="4E710F05"/>
    <w:rsid w:val="4E742982"/>
    <w:rsid w:val="4E7F1E8F"/>
    <w:rsid w:val="4E862481"/>
    <w:rsid w:val="4E8C4141"/>
    <w:rsid w:val="4E901714"/>
    <w:rsid w:val="4E93511F"/>
    <w:rsid w:val="4E9B4432"/>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1A96"/>
    <w:rsid w:val="4F2A7BF3"/>
    <w:rsid w:val="4F2E2624"/>
    <w:rsid w:val="4F4E1077"/>
    <w:rsid w:val="4F546156"/>
    <w:rsid w:val="4F5B6F39"/>
    <w:rsid w:val="4F621F24"/>
    <w:rsid w:val="4F64780B"/>
    <w:rsid w:val="4F844A99"/>
    <w:rsid w:val="4F94662C"/>
    <w:rsid w:val="4FAB774E"/>
    <w:rsid w:val="4FB00163"/>
    <w:rsid w:val="4FB208E7"/>
    <w:rsid w:val="4FB47CBB"/>
    <w:rsid w:val="4FC55F27"/>
    <w:rsid w:val="4FE30332"/>
    <w:rsid w:val="4FE70BB4"/>
    <w:rsid w:val="4FE73C01"/>
    <w:rsid w:val="4FE76D51"/>
    <w:rsid w:val="4FE87C31"/>
    <w:rsid w:val="4FF03F98"/>
    <w:rsid w:val="4FF14DCF"/>
    <w:rsid w:val="4FF62B3F"/>
    <w:rsid w:val="4FF6602B"/>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943125"/>
    <w:rsid w:val="50A578DE"/>
    <w:rsid w:val="50A649F5"/>
    <w:rsid w:val="50AB5EB6"/>
    <w:rsid w:val="50AD494C"/>
    <w:rsid w:val="50AE6FE2"/>
    <w:rsid w:val="50B16618"/>
    <w:rsid w:val="50BB6306"/>
    <w:rsid w:val="50C12EDC"/>
    <w:rsid w:val="50CD2E4B"/>
    <w:rsid w:val="50D8533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E7AC2"/>
    <w:rsid w:val="513F6CC6"/>
    <w:rsid w:val="5147175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04D54"/>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2B1"/>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C622D"/>
    <w:rsid w:val="538E3092"/>
    <w:rsid w:val="53902F6B"/>
    <w:rsid w:val="539F394B"/>
    <w:rsid w:val="53A20FFA"/>
    <w:rsid w:val="53A233E4"/>
    <w:rsid w:val="53A63AE8"/>
    <w:rsid w:val="53A94C48"/>
    <w:rsid w:val="53AA7BC7"/>
    <w:rsid w:val="53AE5EA5"/>
    <w:rsid w:val="53B00B1F"/>
    <w:rsid w:val="53B2409D"/>
    <w:rsid w:val="53B31E73"/>
    <w:rsid w:val="53BD0731"/>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D202CA"/>
    <w:rsid w:val="54D54E59"/>
    <w:rsid w:val="54DD41DB"/>
    <w:rsid w:val="54ED3D78"/>
    <w:rsid w:val="54F0664A"/>
    <w:rsid w:val="54F52BA3"/>
    <w:rsid w:val="54F54E04"/>
    <w:rsid w:val="54FD1E28"/>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A71C0"/>
    <w:rsid w:val="55757FB9"/>
    <w:rsid w:val="55884237"/>
    <w:rsid w:val="558B1E31"/>
    <w:rsid w:val="558C7FAA"/>
    <w:rsid w:val="55900510"/>
    <w:rsid w:val="55947881"/>
    <w:rsid w:val="55A25EB7"/>
    <w:rsid w:val="55A82784"/>
    <w:rsid w:val="55A97512"/>
    <w:rsid w:val="55B524B9"/>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095F43"/>
    <w:rsid w:val="572657E3"/>
    <w:rsid w:val="5732705F"/>
    <w:rsid w:val="57351D6F"/>
    <w:rsid w:val="573B7F99"/>
    <w:rsid w:val="57400732"/>
    <w:rsid w:val="576476C1"/>
    <w:rsid w:val="576E1940"/>
    <w:rsid w:val="57756BF9"/>
    <w:rsid w:val="57770501"/>
    <w:rsid w:val="577B3337"/>
    <w:rsid w:val="577D4F28"/>
    <w:rsid w:val="578B1816"/>
    <w:rsid w:val="5792174B"/>
    <w:rsid w:val="57A33734"/>
    <w:rsid w:val="57AB6ADD"/>
    <w:rsid w:val="57B7178E"/>
    <w:rsid w:val="57B76EED"/>
    <w:rsid w:val="57BD72A7"/>
    <w:rsid w:val="57BE5838"/>
    <w:rsid w:val="57BF764E"/>
    <w:rsid w:val="57CB35DF"/>
    <w:rsid w:val="57D82354"/>
    <w:rsid w:val="57F05993"/>
    <w:rsid w:val="57FC0156"/>
    <w:rsid w:val="57FC07D9"/>
    <w:rsid w:val="57FF6992"/>
    <w:rsid w:val="58036FF1"/>
    <w:rsid w:val="580F1B21"/>
    <w:rsid w:val="581B7E79"/>
    <w:rsid w:val="5837438C"/>
    <w:rsid w:val="58420FA1"/>
    <w:rsid w:val="58500F22"/>
    <w:rsid w:val="58587379"/>
    <w:rsid w:val="585D72B5"/>
    <w:rsid w:val="586D57A3"/>
    <w:rsid w:val="587917A0"/>
    <w:rsid w:val="587A4288"/>
    <w:rsid w:val="587B39E5"/>
    <w:rsid w:val="5880052B"/>
    <w:rsid w:val="588E3967"/>
    <w:rsid w:val="589E7444"/>
    <w:rsid w:val="58AD27D9"/>
    <w:rsid w:val="58B169A2"/>
    <w:rsid w:val="58B9636C"/>
    <w:rsid w:val="58C37133"/>
    <w:rsid w:val="58C93046"/>
    <w:rsid w:val="58D36BCB"/>
    <w:rsid w:val="58D8157C"/>
    <w:rsid w:val="58E11166"/>
    <w:rsid w:val="58E60CD3"/>
    <w:rsid w:val="58E6349C"/>
    <w:rsid w:val="58E83DEC"/>
    <w:rsid w:val="58EF63EE"/>
    <w:rsid w:val="590317F0"/>
    <w:rsid w:val="59075000"/>
    <w:rsid w:val="593559FD"/>
    <w:rsid w:val="593A4D15"/>
    <w:rsid w:val="594079B2"/>
    <w:rsid w:val="595B45EE"/>
    <w:rsid w:val="595C4A81"/>
    <w:rsid w:val="596A688E"/>
    <w:rsid w:val="59860400"/>
    <w:rsid w:val="5987482A"/>
    <w:rsid w:val="598A58C2"/>
    <w:rsid w:val="598C6F19"/>
    <w:rsid w:val="599C49A8"/>
    <w:rsid w:val="59A252D5"/>
    <w:rsid w:val="59A36725"/>
    <w:rsid w:val="59AD4E2E"/>
    <w:rsid w:val="59B14918"/>
    <w:rsid w:val="59B21BF9"/>
    <w:rsid w:val="59B37D53"/>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1C3059"/>
    <w:rsid w:val="5C235386"/>
    <w:rsid w:val="5C2A4E9F"/>
    <w:rsid w:val="5C37782E"/>
    <w:rsid w:val="5C3B6CFC"/>
    <w:rsid w:val="5C4735D5"/>
    <w:rsid w:val="5C4C2CF4"/>
    <w:rsid w:val="5C5E6BCC"/>
    <w:rsid w:val="5C6B1600"/>
    <w:rsid w:val="5C6E26BF"/>
    <w:rsid w:val="5C706511"/>
    <w:rsid w:val="5C7D70D1"/>
    <w:rsid w:val="5C8542A8"/>
    <w:rsid w:val="5C93251D"/>
    <w:rsid w:val="5CA6294E"/>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44514"/>
    <w:rsid w:val="5DA53D05"/>
    <w:rsid w:val="5DB33A5E"/>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03923"/>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4A6EE0"/>
    <w:rsid w:val="5F683B6E"/>
    <w:rsid w:val="5F684490"/>
    <w:rsid w:val="5F697EE8"/>
    <w:rsid w:val="5F6D06D6"/>
    <w:rsid w:val="5F6E768C"/>
    <w:rsid w:val="5F875C0C"/>
    <w:rsid w:val="5F8A0701"/>
    <w:rsid w:val="5F8F0B9E"/>
    <w:rsid w:val="5F8F267A"/>
    <w:rsid w:val="5F91655E"/>
    <w:rsid w:val="5F941274"/>
    <w:rsid w:val="5F99518A"/>
    <w:rsid w:val="5F9A540B"/>
    <w:rsid w:val="5FAB7F08"/>
    <w:rsid w:val="5FB7185B"/>
    <w:rsid w:val="5FB94C48"/>
    <w:rsid w:val="5FBE576C"/>
    <w:rsid w:val="5FDE327E"/>
    <w:rsid w:val="5FE11DB4"/>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775D7"/>
    <w:rsid w:val="60485D19"/>
    <w:rsid w:val="604D29BA"/>
    <w:rsid w:val="6059615F"/>
    <w:rsid w:val="606711B4"/>
    <w:rsid w:val="60673C40"/>
    <w:rsid w:val="606A52D4"/>
    <w:rsid w:val="606C5678"/>
    <w:rsid w:val="60786184"/>
    <w:rsid w:val="607A0897"/>
    <w:rsid w:val="607C3753"/>
    <w:rsid w:val="607F6EAB"/>
    <w:rsid w:val="60824F37"/>
    <w:rsid w:val="608D1D4E"/>
    <w:rsid w:val="608D5C53"/>
    <w:rsid w:val="60911FEF"/>
    <w:rsid w:val="60923D36"/>
    <w:rsid w:val="6092569C"/>
    <w:rsid w:val="609D0F5A"/>
    <w:rsid w:val="60AC72CC"/>
    <w:rsid w:val="60AD0357"/>
    <w:rsid w:val="60B004BE"/>
    <w:rsid w:val="60B6381B"/>
    <w:rsid w:val="60BA604C"/>
    <w:rsid w:val="60BE348E"/>
    <w:rsid w:val="60C302BA"/>
    <w:rsid w:val="60C30855"/>
    <w:rsid w:val="60C338B1"/>
    <w:rsid w:val="60D4742F"/>
    <w:rsid w:val="60D67C80"/>
    <w:rsid w:val="60D95276"/>
    <w:rsid w:val="60E06DEB"/>
    <w:rsid w:val="60E51841"/>
    <w:rsid w:val="61110088"/>
    <w:rsid w:val="611647A0"/>
    <w:rsid w:val="611D54C0"/>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26DE3"/>
    <w:rsid w:val="61FF316E"/>
    <w:rsid w:val="62014BDB"/>
    <w:rsid w:val="621542CB"/>
    <w:rsid w:val="621C2930"/>
    <w:rsid w:val="62344A89"/>
    <w:rsid w:val="624263A2"/>
    <w:rsid w:val="625272C3"/>
    <w:rsid w:val="626A1B4F"/>
    <w:rsid w:val="62715337"/>
    <w:rsid w:val="6280204D"/>
    <w:rsid w:val="62875636"/>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677698"/>
    <w:rsid w:val="63771D13"/>
    <w:rsid w:val="638C3395"/>
    <w:rsid w:val="63B37325"/>
    <w:rsid w:val="63B82D87"/>
    <w:rsid w:val="63BA3154"/>
    <w:rsid w:val="63C509F9"/>
    <w:rsid w:val="63CA2E8B"/>
    <w:rsid w:val="63CF097D"/>
    <w:rsid w:val="63D4153E"/>
    <w:rsid w:val="63DA0FA3"/>
    <w:rsid w:val="63DC7755"/>
    <w:rsid w:val="63E43D21"/>
    <w:rsid w:val="63E774B3"/>
    <w:rsid w:val="63EE4B23"/>
    <w:rsid w:val="63F47D2A"/>
    <w:rsid w:val="63F6335E"/>
    <w:rsid w:val="63FE2D33"/>
    <w:rsid w:val="64046427"/>
    <w:rsid w:val="640B5788"/>
    <w:rsid w:val="642231AB"/>
    <w:rsid w:val="642369FC"/>
    <w:rsid w:val="64254882"/>
    <w:rsid w:val="64264A79"/>
    <w:rsid w:val="642A38B2"/>
    <w:rsid w:val="642E28B0"/>
    <w:rsid w:val="64304E58"/>
    <w:rsid w:val="64311867"/>
    <w:rsid w:val="64391ED3"/>
    <w:rsid w:val="6445632E"/>
    <w:rsid w:val="64566F9D"/>
    <w:rsid w:val="64596CB3"/>
    <w:rsid w:val="64742B63"/>
    <w:rsid w:val="647949B0"/>
    <w:rsid w:val="647E661E"/>
    <w:rsid w:val="648939AA"/>
    <w:rsid w:val="648C635C"/>
    <w:rsid w:val="64941876"/>
    <w:rsid w:val="649B1AC2"/>
    <w:rsid w:val="649B4C1C"/>
    <w:rsid w:val="64A7467B"/>
    <w:rsid w:val="64B53322"/>
    <w:rsid w:val="64C41B57"/>
    <w:rsid w:val="64C61AF8"/>
    <w:rsid w:val="64C86505"/>
    <w:rsid w:val="64E65F95"/>
    <w:rsid w:val="64EB5728"/>
    <w:rsid w:val="64F92488"/>
    <w:rsid w:val="64FA211B"/>
    <w:rsid w:val="64FB4412"/>
    <w:rsid w:val="64FE700F"/>
    <w:rsid w:val="6500327F"/>
    <w:rsid w:val="6503698F"/>
    <w:rsid w:val="6506609B"/>
    <w:rsid w:val="65083216"/>
    <w:rsid w:val="650A57D3"/>
    <w:rsid w:val="654357C1"/>
    <w:rsid w:val="65460728"/>
    <w:rsid w:val="654835A8"/>
    <w:rsid w:val="654861C0"/>
    <w:rsid w:val="654C7056"/>
    <w:rsid w:val="65733E15"/>
    <w:rsid w:val="657B6B88"/>
    <w:rsid w:val="65822810"/>
    <w:rsid w:val="65870C45"/>
    <w:rsid w:val="658F6B54"/>
    <w:rsid w:val="659705FF"/>
    <w:rsid w:val="659C60A2"/>
    <w:rsid w:val="65A47504"/>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00F11"/>
    <w:rsid w:val="66641D58"/>
    <w:rsid w:val="66655F85"/>
    <w:rsid w:val="667C7AEC"/>
    <w:rsid w:val="667F71BA"/>
    <w:rsid w:val="66863A0F"/>
    <w:rsid w:val="66984358"/>
    <w:rsid w:val="669B7C76"/>
    <w:rsid w:val="66A200F8"/>
    <w:rsid w:val="66A205F5"/>
    <w:rsid w:val="66A30EC2"/>
    <w:rsid w:val="66AA4BA8"/>
    <w:rsid w:val="66B51E22"/>
    <w:rsid w:val="66C56058"/>
    <w:rsid w:val="66C955BD"/>
    <w:rsid w:val="66CF3182"/>
    <w:rsid w:val="66D97420"/>
    <w:rsid w:val="66DC317D"/>
    <w:rsid w:val="66DD5461"/>
    <w:rsid w:val="66E10E78"/>
    <w:rsid w:val="66E617C5"/>
    <w:rsid w:val="66E910C9"/>
    <w:rsid w:val="670C6D27"/>
    <w:rsid w:val="670D67CE"/>
    <w:rsid w:val="67105BAB"/>
    <w:rsid w:val="67150D42"/>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95621B"/>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BE2B96"/>
    <w:rsid w:val="68CA6EAF"/>
    <w:rsid w:val="68D10697"/>
    <w:rsid w:val="68D507C6"/>
    <w:rsid w:val="68E24981"/>
    <w:rsid w:val="68E62C62"/>
    <w:rsid w:val="68ED60A5"/>
    <w:rsid w:val="68F00C59"/>
    <w:rsid w:val="69123F86"/>
    <w:rsid w:val="691C1D81"/>
    <w:rsid w:val="691C3525"/>
    <w:rsid w:val="691C4B46"/>
    <w:rsid w:val="69216128"/>
    <w:rsid w:val="69250799"/>
    <w:rsid w:val="69280874"/>
    <w:rsid w:val="692E74C3"/>
    <w:rsid w:val="69307671"/>
    <w:rsid w:val="695D6B21"/>
    <w:rsid w:val="69611EE7"/>
    <w:rsid w:val="69621F5B"/>
    <w:rsid w:val="696C708E"/>
    <w:rsid w:val="696F4D5D"/>
    <w:rsid w:val="69796AD5"/>
    <w:rsid w:val="69850877"/>
    <w:rsid w:val="698C13C5"/>
    <w:rsid w:val="69C12919"/>
    <w:rsid w:val="69EB1E1E"/>
    <w:rsid w:val="69F0745A"/>
    <w:rsid w:val="69F2722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86403E"/>
    <w:rsid w:val="6AAE7116"/>
    <w:rsid w:val="6AAF014C"/>
    <w:rsid w:val="6ABD60AB"/>
    <w:rsid w:val="6AC07690"/>
    <w:rsid w:val="6ACB082B"/>
    <w:rsid w:val="6AD3247E"/>
    <w:rsid w:val="6AE4699C"/>
    <w:rsid w:val="6AED1BE8"/>
    <w:rsid w:val="6AF00853"/>
    <w:rsid w:val="6AF317C6"/>
    <w:rsid w:val="6B004C6B"/>
    <w:rsid w:val="6B014632"/>
    <w:rsid w:val="6B0722BD"/>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E71622"/>
    <w:rsid w:val="6BE727F5"/>
    <w:rsid w:val="6C001608"/>
    <w:rsid w:val="6C08064C"/>
    <w:rsid w:val="6C0858B3"/>
    <w:rsid w:val="6C132D21"/>
    <w:rsid w:val="6C14347F"/>
    <w:rsid w:val="6C240DF3"/>
    <w:rsid w:val="6C3977A7"/>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ED1766"/>
    <w:rsid w:val="6DF27EC3"/>
    <w:rsid w:val="6DF43BD4"/>
    <w:rsid w:val="6E0E1FAB"/>
    <w:rsid w:val="6E2143FB"/>
    <w:rsid w:val="6E295363"/>
    <w:rsid w:val="6E317378"/>
    <w:rsid w:val="6E3A4724"/>
    <w:rsid w:val="6E3E5591"/>
    <w:rsid w:val="6E407C99"/>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7210B"/>
    <w:rsid w:val="6ECC3A24"/>
    <w:rsid w:val="6ED86D3E"/>
    <w:rsid w:val="6EE9744F"/>
    <w:rsid w:val="6EEC3F7C"/>
    <w:rsid w:val="6EF3602C"/>
    <w:rsid w:val="6EF65A2C"/>
    <w:rsid w:val="6EFE1485"/>
    <w:rsid w:val="6F0247B3"/>
    <w:rsid w:val="6F031F8E"/>
    <w:rsid w:val="6F09008D"/>
    <w:rsid w:val="6F0C735C"/>
    <w:rsid w:val="6F0D382C"/>
    <w:rsid w:val="6F2632E8"/>
    <w:rsid w:val="6F30363A"/>
    <w:rsid w:val="6F3316E5"/>
    <w:rsid w:val="6F3F40F9"/>
    <w:rsid w:val="6F424B2F"/>
    <w:rsid w:val="6F502EBA"/>
    <w:rsid w:val="6F5E0205"/>
    <w:rsid w:val="6F632569"/>
    <w:rsid w:val="6F635644"/>
    <w:rsid w:val="6F635E50"/>
    <w:rsid w:val="6F6F14E1"/>
    <w:rsid w:val="6F76254B"/>
    <w:rsid w:val="6F7A50D5"/>
    <w:rsid w:val="6F7C40AC"/>
    <w:rsid w:val="6F8040F4"/>
    <w:rsid w:val="6F877B03"/>
    <w:rsid w:val="6F905BB3"/>
    <w:rsid w:val="6F9A3007"/>
    <w:rsid w:val="6FA629D4"/>
    <w:rsid w:val="6FA75ADB"/>
    <w:rsid w:val="6FB77ED4"/>
    <w:rsid w:val="6FBD3BBF"/>
    <w:rsid w:val="6FBD4D2F"/>
    <w:rsid w:val="6FBF4710"/>
    <w:rsid w:val="6FC14108"/>
    <w:rsid w:val="6FC9109F"/>
    <w:rsid w:val="6FCC6779"/>
    <w:rsid w:val="6FDB518F"/>
    <w:rsid w:val="6FE529ED"/>
    <w:rsid w:val="6FF733A7"/>
    <w:rsid w:val="70003DD9"/>
    <w:rsid w:val="70072915"/>
    <w:rsid w:val="70172090"/>
    <w:rsid w:val="70195E88"/>
    <w:rsid w:val="701D43BA"/>
    <w:rsid w:val="70216162"/>
    <w:rsid w:val="70291C03"/>
    <w:rsid w:val="702B6F43"/>
    <w:rsid w:val="7032079E"/>
    <w:rsid w:val="703C186A"/>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DE33C3"/>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F00B2"/>
    <w:rsid w:val="71702748"/>
    <w:rsid w:val="71867894"/>
    <w:rsid w:val="718E3AA9"/>
    <w:rsid w:val="71920F6D"/>
    <w:rsid w:val="7196106A"/>
    <w:rsid w:val="719E0160"/>
    <w:rsid w:val="719F7A78"/>
    <w:rsid w:val="71A03079"/>
    <w:rsid w:val="71AD22C0"/>
    <w:rsid w:val="71B623F6"/>
    <w:rsid w:val="71B84778"/>
    <w:rsid w:val="71C17B7E"/>
    <w:rsid w:val="71C7540C"/>
    <w:rsid w:val="71E857A5"/>
    <w:rsid w:val="71F64A63"/>
    <w:rsid w:val="71F870B8"/>
    <w:rsid w:val="71F9130C"/>
    <w:rsid w:val="72021233"/>
    <w:rsid w:val="720B2A1D"/>
    <w:rsid w:val="72197AB8"/>
    <w:rsid w:val="722D6444"/>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63274A"/>
    <w:rsid w:val="73691A4A"/>
    <w:rsid w:val="7371152B"/>
    <w:rsid w:val="73777B4D"/>
    <w:rsid w:val="737920CD"/>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10121"/>
    <w:rsid w:val="7453404A"/>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123E1D"/>
    <w:rsid w:val="761270F3"/>
    <w:rsid w:val="761724E5"/>
    <w:rsid w:val="761B2852"/>
    <w:rsid w:val="762545DB"/>
    <w:rsid w:val="762A17C0"/>
    <w:rsid w:val="762B7A6C"/>
    <w:rsid w:val="762E6798"/>
    <w:rsid w:val="763E6F8E"/>
    <w:rsid w:val="76425118"/>
    <w:rsid w:val="764838B9"/>
    <w:rsid w:val="764B15DA"/>
    <w:rsid w:val="764C09B4"/>
    <w:rsid w:val="764F5A52"/>
    <w:rsid w:val="76521C57"/>
    <w:rsid w:val="766163C1"/>
    <w:rsid w:val="76665926"/>
    <w:rsid w:val="766A4A0D"/>
    <w:rsid w:val="767F0863"/>
    <w:rsid w:val="768C454B"/>
    <w:rsid w:val="7692667A"/>
    <w:rsid w:val="76982273"/>
    <w:rsid w:val="769A7352"/>
    <w:rsid w:val="769C4619"/>
    <w:rsid w:val="76A177B8"/>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36716"/>
    <w:rsid w:val="77240552"/>
    <w:rsid w:val="77272CAB"/>
    <w:rsid w:val="772B4341"/>
    <w:rsid w:val="7731599F"/>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0F0726"/>
    <w:rsid w:val="7833711D"/>
    <w:rsid w:val="7834483F"/>
    <w:rsid w:val="78460D63"/>
    <w:rsid w:val="78497C2E"/>
    <w:rsid w:val="78502D35"/>
    <w:rsid w:val="7854087B"/>
    <w:rsid w:val="786A4053"/>
    <w:rsid w:val="78717849"/>
    <w:rsid w:val="78782A0D"/>
    <w:rsid w:val="78785A2F"/>
    <w:rsid w:val="787B5060"/>
    <w:rsid w:val="788720E7"/>
    <w:rsid w:val="788E1C96"/>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13CC6"/>
    <w:rsid w:val="794708D9"/>
    <w:rsid w:val="794B21A1"/>
    <w:rsid w:val="7964574A"/>
    <w:rsid w:val="79804706"/>
    <w:rsid w:val="79835FC2"/>
    <w:rsid w:val="79840597"/>
    <w:rsid w:val="79941CF2"/>
    <w:rsid w:val="79973382"/>
    <w:rsid w:val="79B4353E"/>
    <w:rsid w:val="79C07B43"/>
    <w:rsid w:val="79C832AC"/>
    <w:rsid w:val="79D33056"/>
    <w:rsid w:val="79D715DF"/>
    <w:rsid w:val="79D85AB0"/>
    <w:rsid w:val="79DE3595"/>
    <w:rsid w:val="79DE3F82"/>
    <w:rsid w:val="79E16F93"/>
    <w:rsid w:val="79E701E5"/>
    <w:rsid w:val="79EC0256"/>
    <w:rsid w:val="79F60153"/>
    <w:rsid w:val="79FA15B1"/>
    <w:rsid w:val="79FB6E2C"/>
    <w:rsid w:val="79FF7B91"/>
    <w:rsid w:val="7A165123"/>
    <w:rsid w:val="7A36322F"/>
    <w:rsid w:val="7A431242"/>
    <w:rsid w:val="7A444657"/>
    <w:rsid w:val="7A4B3D21"/>
    <w:rsid w:val="7A4C2D60"/>
    <w:rsid w:val="7A5E0869"/>
    <w:rsid w:val="7A69432B"/>
    <w:rsid w:val="7A6E4BF5"/>
    <w:rsid w:val="7A6E5088"/>
    <w:rsid w:val="7A7443E0"/>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067F6"/>
    <w:rsid w:val="7C417F31"/>
    <w:rsid w:val="7C4674BA"/>
    <w:rsid w:val="7C4A2BD1"/>
    <w:rsid w:val="7C4C0053"/>
    <w:rsid w:val="7C576C70"/>
    <w:rsid w:val="7C6E4349"/>
    <w:rsid w:val="7C77043F"/>
    <w:rsid w:val="7C8A7CDC"/>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26588"/>
    <w:rsid w:val="7CF565D7"/>
    <w:rsid w:val="7CF7605D"/>
    <w:rsid w:val="7CF867A7"/>
    <w:rsid w:val="7CFA3A46"/>
    <w:rsid w:val="7CFC78A1"/>
    <w:rsid w:val="7D0F5720"/>
    <w:rsid w:val="7D186F3E"/>
    <w:rsid w:val="7D24652E"/>
    <w:rsid w:val="7D2561FD"/>
    <w:rsid w:val="7D2E198F"/>
    <w:rsid w:val="7D342E03"/>
    <w:rsid w:val="7D355821"/>
    <w:rsid w:val="7D3B3737"/>
    <w:rsid w:val="7D3D73AF"/>
    <w:rsid w:val="7D3F6E5D"/>
    <w:rsid w:val="7D5052A6"/>
    <w:rsid w:val="7D514310"/>
    <w:rsid w:val="7D5B27C9"/>
    <w:rsid w:val="7D62117D"/>
    <w:rsid w:val="7D6B7F02"/>
    <w:rsid w:val="7D834A16"/>
    <w:rsid w:val="7D9B14E6"/>
    <w:rsid w:val="7D9D0A97"/>
    <w:rsid w:val="7D9D438F"/>
    <w:rsid w:val="7DA514D2"/>
    <w:rsid w:val="7DAE6BE3"/>
    <w:rsid w:val="7DCD1A27"/>
    <w:rsid w:val="7DCD4EB5"/>
    <w:rsid w:val="7DDF20BC"/>
    <w:rsid w:val="7DE07962"/>
    <w:rsid w:val="7DE34955"/>
    <w:rsid w:val="7DF0793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23943"/>
    <w:rsid w:val="7EB4653A"/>
    <w:rsid w:val="7EBD44C4"/>
    <w:rsid w:val="7EC478B9"/>
    <w:rsid w:val="7ECA4601"/>
    <w:rsid w:val="7ECE7C95"/>
    <w:rsid w:val="7EDC22AD"/>
    <w:rsid w:val="7EDE4C34"/>
    <w:rsid w:val="7EE34086"/>
    <w:rsid w:val="7EE55F89"/>
    <w:rsid w:val="7EEB5719"/>
    <w:rsid w:val="7EF04F4F"/>
    <w:rsid w:val="7EF215E8"/>
    <w:rsid w:val="7EF525E1"/>
    <w:rsid w:val="7EF74FC9"/>
    <w:rsid w:val="7F000B6A"/>
    <w:rsid w:val="7F0178C5"/>
    <w:rsid w:val="7F022EBD"/>
    <w:rsid w:val="7F023C17"/>
    <w:rsid w:val="7F033852"/>
    <w:rsid w:val="7F0B5962"/>
    <w:rsid w:val="7F0C2035"/>
    <w:rsid w:val="7F0F0FAF"/>
    <w:rsid w:val="7F0F7992"/>
    <w:rsid w:val="7F1B0865"/>
    <w:rsid w:val="7F271AA3"/>
    <w:rsid w:val="7F354370"/>
    <w:rsid w:val="7F397345"/>
    <w:rsid w:val="7F4D1868"/>
    <w:rsid w:val="7F4D3BF2"/>
    <w:rsid w:val="7F542B37"/>
    <w:rsid w:val="7F57085D"/>
    <w:rsid w:val="7F630EB2"/>
    <w:rsid w:val="7F6A77AB"/>
    <w:rsid w:val="7F6B2248"/>
    <w:rsid w:val="7F725E7C"/>
    <w:rsid w:val="7F761ADC"/>
    <w:rsid w:val="7F7D7A8E"/>
    <w:rsid w:val="7F872588"/>
    <w:rsid w:val="7F8725BA"/>
    <w:rsid w:val="7F8C6A8F"/>
    <w:rsid w:val="7F994DB5"/>
    <w:rsid w:val="7F9C175D"/>
    <w:rsid w:val="7F9F773D"/>
    <w:rsid w:val="7FA85877"/>
    <w:rsid w:val="7FAB3A81"/>
    <w:rsid w:val="7FBE6C35"/>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table" w:customStyle="1" w:styleId="79">
    <w:name w:val="TableGrid3"/>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
    <w:name w:val="TableGrid4"/>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1">
    <w:name w:val="WW8Num1z0"/>
    <w:qFormat/>
    <w:uiPriority w:val="0"/>
  </w:style>
  <w:style w:type="character" w:customStyle="1" w:styleId="82">
    <w:name w:val="ui-provider"/>
    <w:qFormat/>
    <w:uiPriority w:val="0"/>
  </w:style>
  <w:style w:type="paragraph" w:customStyle="1" w:styleId="83">
    <w:name w:val="TAR"/>
    <w:basedOn w:val="58"/>
    <w:qFormat/>
    <w:uiPriority w:val="0"/>
    <w:pPr>
      <w:jc w:val="right"/>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3</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2025-03-28T09:02:16Z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78896399C4B640358C07653FA93B3653</vt:lpwstr>
  </property>
</Properties>
</file>